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left="5683"/>
        <w:jc w:val="left"/>
        <w:keepNext/>
        <w:spacing w:after="120" w:before="120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fldChar w:fldCharType="end"/>
      </w:r>
      <w:r>
        <w:rPr>
          <w:color w:val="000000"/>
        </w:rPr>
        <w:t xml:space="preserve">Załącznik do uchwały Nr </w:t>
      </w:r>
      <w:r>
        <w:rPr>
          <w:color w:val="000000"/>
        </w:rPr>
        <w:t xml:space="preserve">8/2020</w:t>
      </w:r>
      <w:r>
        <w:rPr>
          <w:color w:val="000000"/>
        </w:rPr>
        <w:br/>
        <w:t xml:space="preserve">Nadzwyczajnego Walnego Zebrania Członków Stowarzyszenia Trampolina</w:t>
      </w:r>
      <w:r>
        <w:rPr>
          <w:color w:val="000000"/>
        </w:rPr>
        <w:br/>
        <w:t xml:space="preserve">z dnia 5 czerwca 2020 r.</w:t>
      </w:r>
      <w:r/>
    </w:p>
    <w:p>
      <w:pPr>
        <w:pStyle w:val="702"/>
        <w:jc w:val="center"/>
      </w:pPr>
      <w:r>
        <w:t xml:space="preserve">STATUT</w:t>
      </w:r>
      <w:r/>
    </w:p>
    <w:p>
      <w:pPr>
        <w:pStyle w:val="702"/>
        <w:jc w:val="center"/>
      </w:pPr>
      <w:r>
        <w:t xml:space="preserve">STOWARZYSZENIA TRAMPOLINA</w:t>
      </w:r>
      <w:r>
        <w:br/>
        <w:t xml:space="preserve">(OBECNA NAZWA: STOWARZYSZENIE BARTOSZ)</w:t>
      </w:r>
      <w:r/>
    </w:p>
    <w:p>
      <w:pPr>
        <w:pStyle w:val="702"/>
        <w:jc w:val="center"/>
      </w:pPr>
      <w:r>
        <w:t xml:space="preserve">- tekst jednolity z dnia 5 czerwca 2020 r.</w:t>
      </w:r>
      <w:r/>
    </w:p>
    <w:p>
      <w:pPr>
        <w:jc w:val="center"/>
        <w:keepLines/>
        <w:keepNext/>
        <w:rPr>
          <w:color w:val="000000"/>
        </w:rPr>
      </w:pPr>
      <w:r>
        <w:rPr>
          <w:b/>
        </w:rPr>
        <w:t xml:space="preserve">Rozdział 1.</w:t>
      </w:r>
      <w:r>
        <w:rPr>
          <w:color w:val="000000"/>
        </w:rPr>
        <w:br/>
      </w:r>
      <w:r>
        <w:rPr>
          <w:b/>
          <w:color w:val="000000"/>
        </w:rPr>
        <w:t xml:space="preserve">POSTANOWIENIA OGÓLNE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1. </w:t>
      </w:r>
      <w:r>
        <w:t xml:space="preserve">1. </w:t>
      </w:r>
      <w:r>
        <w:rPr>
          <w:color w:val="000000"/>
        </w:rPr>
        <w:t xml:space="preserve">Stowarzyszenie działające na podstawie niniejszego Statutu nosi nazwę: Stowarzyszenie Bartosz.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(skreślony)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2. </w:t>
      </w:r>
      <w:r>
        <w:rPr>
          <w:color w:val="000000"/>
        </w:rPr>
        <w:t xml:space="preserve">Siedzibą Stowarzyszenia jest miasto Opatów.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3. </w:t>
      </w:r>
      <w:r>
        <w:rPr>
          <w:color w:val="000000"/>
        </w:rPr>
        <w:t xml:space="preserve">Terenem działania Stowarzyszenia jest obszar Rzeczpospolitej Polskiej, ze szczególnym uwzględnieniem województwa świętokrzyskiego.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4. </w:t>
      </w:r>
      <w:r>
        <w:rPr>
          <w:color w:val="000000"/>
        </w:rPr>
        <w:t xml:space="preserve">Stowarzyszenie jest zarejestrowane i posiada osobowość prawną. Powołane jest na czas nieokreślony.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5. </w:t>
      </w:r>
      <w:r>
        <w:rPr>
          <w:color w:val="000000"/>
        </w:rPr>
        <w:t xml:space="preserve">Stowarzyszenie ma prawo używać pieczęci, znaków organizacyjnych i odznak zgodnie z obowiązującymi przepisami.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6. </w:t>
      </w:r>
      <w:r>
        <w:rPr>
          <w:color w:val="000000"/>
        </w:rPr>
        <w:t xml:space="preserve">Stowarzyszenie współpracuje z krajowymi, zagranicznymi i międzynarodowymi organizacjami pozarządowymi i innymi instytucjami. Może pozostawać członkiem tych organizacji na zasadach pełnej autonomii.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7. </w:t>
      </w:r>
      <w:r>
        <w:t xml:space="preserve">1. </w:t>
      </w:r>
      <w:r>
        <w:rPr>
          <w:color w:val="000000"/>
        </w:rPr>
        <w:t xml:space="preserve">Działalność Stowarzyszenie oparta jest na pracy społecznej członków. Za wyjątkiem prac związanych z prowadzeniem księgowości Stowarzyszenia oraz realizacji projektów, gdzie wymagane jest zatrudnienie kadry do jego wykonania.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Członkowie Zarządu mogą otrzymywać z tyt</w:t>
      </w:r>
      <w:r>
        <w:rPr>
          <w:color w:val="000000"/>
        </w:rPr>
        <w:t xml:space="preserve">ułu pełnienia funkcji zwrot uzasadnionych kosztów, jak również wynagrodzenie w wysokości nie wyższej niż dwukrotność przeciętnego miesięcznego wynagrodzenia w sektorze przedsiębiorstw ogłoszone przez Prezesa Głównego Urzędu Statystycznego za rok poprzedni.</w:t>
      </w:r>
      <w:r/>
    </w:p>
    <w:p>
      <w:pPr>
        <w:ind w:firstLine="340"/>
        <w:jc w:val="center"/>
        <w:keepLines/>
        <w:spacing w:after="120" w:before="120"/>
        <w:rPr>
          <w:color w:val="000000"/>
        </w:rPr>
      </w:pPr>
      <w:r>
        <w:rPr>
          <w:b/>
        </w:rPr>
        <w:t xml:space="preserve">Rozdział 2.</w:t>
      </w:r>
      <w:r>
        <w:rPr>
          <w:color w:val="000000"/>
        </w:rPr>
        <w:br/>
      </w:r>
      <w:r>
        <w:rPr>
          <w:b/>
          <w:color w:val="000000"/>
        </w:rPr>
        <w:t xml:space="preserve">CELE I SPOSOBY ICH REALIZACJI</w:t>
      </w:r>
      <w:r/>
    </w:p>
    <w:p>
      <w:pPr>
        <w:ind w:firstLine="340"/>
        <w:keepLines/>
        <w:spacing w:after="120" w:before="120"/>
        <w:rPr>
          <w:b/>
        </w:rPr>
      </w:pPr>
      <w:r>
        <w:rPr>
          <w:b/>
        </w:rPr>
        <w:t xml:space="preserve">§ 8.</w:t>
      </w:r>
      <w:r>
        <w:rPr>
          <w:b/>
        </w:rPr>
        <w:t xml:space="preserve"> </w:t>
      </w:r>
      <w:r>
        <w:rPr>
          <w:color w:val="000000"/>
        </w:rPr>
        <w:t xml:space="preserve">Celami stowarzyszenia są: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1) </w:t>
      </w:r>
      <w:r>
        <w:rPr>
          <w:color w:val="000000"/>
        </w:rPr>
        <w:t xml:space="preserve">wspieranie i organizowanie działalności promującej zdrowy styl życia;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2) </w:t>
      </w:r>
      <w:r>
        <w:rPr>
          <w:color w:val="000000"/>
        </w:rPr>
        <w:t xml:space="preserve">działalność na rzecz rozwoju Zespołu Szkół Nr 2 w Opatowie;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3) </w:t>
      </w:r>
      <w:r>
        <w:rPr>
          <w:color w:val="000000"/>
        </w:rPr>
        <w:t xml:space="preserve">organizowanie pomocy osobom zagrożonym zjawiskiem wykluczenia społecznego;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4) </w:t>
      </w:r>
      <w:r>
        <w:rPr>
          <w:color w:val="000000"/>
        </w:rPr>
        <w:t xml:space="preserve">wspieranie dzieci i młodzieży przez organizowanie dziennych miejsc opieki, w tym tworzone instytucjonalnych formach opieki przewidzianych ustawą, tj. w żłobkach, klubach dziecięcych oraz w ramach instytucji dziennego opiekuna;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5) </w:t>
      </w:r>
      <w:r>
        <w:rPr>
          <w:color w:val="000000"/>
        </w:rPr>
        <w:t xml:space="preserve">działalność oświatowa w tym kształcenie dorosłych;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6) </w:t>
      </w:r>
      <w:r>
        <w:rPr>
          <w:color w:val="000000"/>
        </w:rPr>
        <w:t xml:space="preserve">przeciwdziałanie bezrobociu, wspieranie osób poszukujących pracy oraz tworzenie nowych miejsc pracy, działania na rzecz współpracy pomiędzy pracodawcami;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7) </w:t>
      </w:r>
      <w:r>
        <w:rPr>
          <w:color w:val="000000"/>
        </w:rPr>
        <w:t xml:space="preserve">wspieranie inicjatyw służących poszerzaniu płaszczyzn dialogu społecznego i komunikowania się społeczności lokalnej z innymi podmiotami w kraju i za granicą;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8) </w:t>
      </w:r>
      <w:r>
        <w:rPr>
          <w:color w:val="000000"/>
        </w:rPr>
        <w:t xml:space="preserve">wspieranie mikro i małych przedsiębiorstw;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9) </w:t>
      </w:r>
      <w:r>
        <w:rPr>
          <w:color w:val="000000"/>
        </w:rPr>
        <w:t xml:space="preserve">wspieranie i organizowanie działalności kulturalnej i oświatowej dzieci i młodzieży;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10) </w:t>
      </w:r>
      <w:r>
        <w:rPr>
          <w:color w:val="000000"/>
        </w:rPr>
        <w:t xml:space="preserve">wspieranie i inicjowanie różnych form wypoczynku dzieci i młodzieży;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11) </w:t>
      </w:r>
      <w:r>
        <w:rPr>
          <w:color w:val="000000"/>
        </w:rPr>
        <w:t xml:space="preserve">wspieranie i organizowanie działalności sportowej i prozdrowotnej;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12) </w:t>
      </w:r>
      <w:r>
        <w:rPr>
          <w:color w:val="000000"/>
        </w:rPr>
        <w:t xml:space="preserve">wspieranie i organizowanie ekonomii społecznej;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13) </w:t>
      </w:r>
      <w:r>
        <w:rPr>
          <w:color w:val="000000"/>
        </w:rPr>
        <w:t xml:space="preserve">wspieranie i inicjowanie wolontariatu;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14) </w:t>
      </w:r>
      <w:r>
        <w:rPr>
          <w:color w:val="000000"/>
        </w:rPr>
        <w:t xml:space="preserve">wspieranie i organizowanie działalności na rzecz ekologii, ochrony środowiska i rolnictwa;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15) </w:t>
      </w:r>
      <w:r>
        <w:rPr>
          <w:color w:val="000000"/>
        </w:rPr>
        <w:t xml:space="preserve">działalność na rzecz zrównoważonego rozwoju obszarów wiejskich, z uwzględnieniem zarówno interesów gospodarczych mieszkańców, jak i wymogów ochrony dziedzictwa i krajobrazu kulturowego oraz przyrodniczego wsi;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16) </w:t>
      </w:r>
      <w:r>
        <w:rPr>
          <w:color w:val="000000"/>
        </w:rPr>
        <w:t xml:space="preserve">wsp</w:t>
      </w:r>
      <w:r>
        <w:rPr>
          <w:color w:val="000000"/>
        </w:rPr>
        <w:t xml:space="preserve">ieranie działalności naukowej i kulturalnej na rzecz dziedzictwa narodowego, w zakresie wspierania działalności o charakterze archiwalnym, bibliotecznym i muzealnym, na rzecz zabezpieczania, badania i udostępniania zasobów kultury i dziedzictwa narodowego;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17) </w:t>
      </w:r>
      <w:r>
        <w:rPr>
          <w:color w:val="000000"/>
        </w:rPr>
        <w:t xml:space="preserve">wspieranie działań mających na celu budowę lub rozbudowę ogólnodostępnej i niekomercyjnej infrastruktury turystycznej lub rekreacyjnej;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18) </w:t>
      </w:r>
      <w:r>
        <w:rPr>
          <w:color w:val="000000"/>
        </w:rPr>
        <w:t xml:space="preserve">rozwój kultury ludowej, w tym szczególności kultury lokalnej i regionalnej;</w:t>
      </w:r>
      <w:r/>
    </w:p>
    <w:p>
      <w:pPr>
        <w:ind w:firstLine="284"/>
        <w:spacing w:after="120" w:before="120"/>
        <w:rPr>
          <w:color w:val="000000"/>
        </w:rPr>
      </w:pPr>
      <w:r>
        <w:t xml:space="preserve">19) </w:t>
      </w:r>
      <w:r>
        <w:rPr>
          <w:color w:val="000000"/>
        </w:rPr>
        <w:t xml:space="preserve">działania promujące zdrowy tryb życia społeczności, a w szczególności dzieci i młodzieży;</w:t>
      </w:r>
      <w:r/>
    </w:p>
    <w:p>
      <w:pPr>
        <w:ind w:firstLine="284"/>
        <w:keepLines/>
        <w:spacing w:after="120" w:before="120"/>
        <w:rPr>
          <w:color w:val="000000"/>
        </w:rPr>
      </w:pPr>
      <w:r>
        <w:t xml:space="preserve">20)</w:t>
      </w:r>
      <w:r>
        <w:rPr>
          <w:color w:val="000000"/>
        </w:rPr>
        <w:t xml:space="preserve"> </w:t>
      </w:r>
      <w:r>
        <w:rPr>
          <w:color w:val="000000"/>
        </w:rPr>
        <w:t xml:space="preserve">działalność na rzecz środowiska, na rzecz dzieci i młodzieży.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9. </w:t>
      </w:r>
      <w:r>
        <w:rPr>
          <w:color w:val="000000"/>
        </w:rPr>
        <w:t xml:space="preserve">Stowarzyszenie realizuje swoje cele poprzez: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1) </w:t>
      </w:r>
      <w:r>
        <w:rPr>
          <w:color w:val="000000"/>
        </w:rPr>
        <w:t xml:space="preserve">tworzenie wokół Stowarzyszenia różnych form wolontariatu;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2) </w:t>
      </w:r>
      <w:r>
        <w:rPr>
          <w:color w:val="000000"/>
        </w:rPr>
        <w:t xml:space="preserve">działalność promująca zdrowe odżywianie i zdrowy styl życia wśród młodzieży szkolnej i społeczności lokalnej;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3) </w:t>
      </w:r>
      <w:r>
        <w:rPr>
          <w:color w:val="000000"/>
        </w:rPr>
        <w:t xml:space="preserve">organizowanie i prowadzenie działalności szkolnej, pozaszkolnej oraz działalności doradczej;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4) </w:t>
      </w:r>
      <w:r>
        <w:rPr>
          <w:color w:val="000000"/>
        </w:rPr>
        <w:t xml:space="preserve">planowanie i organizowanie pozalekcyjnej oraz środowiskowej działalności kulturalnej i oświatowej;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5) </w:t>
      </w:r>
      <w:r>
        <w:rPr>
          <w:color w:val="000000"/>
        </w:rPr>
        <w:t xml:space="preserve">organizowanie  i inicjowanie przeglądów i konkursów regionalnych i międzyregionalnych dla młodzieży;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6) </w:t>
      </w:r>
      <w:r>
        <w:rPr>
          <w:color w:val="000000"/>
        </w:rPr>
        <w:t xml:space="preserve">wspieranie i inicjowanie międzynarodowej wymiany dzieci i młodzieży;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7) </w:t>
      </w:r>
      <w:r>
        <w:rPr>
          <w:color w:val="000000"/>
        </w:rPr>
        <w:t xml:space="preserve">podejmowanie różnorodnych inicjatyw gospodarczych i kulturalno-oświatowych w celu zdobywania funduszy na statutową działalność;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8) </w:t>
      </w:r>
      <w:r>
        <w:rPr>
          <w:color w:val="000000"/>
        </w:rPr>
        <w:t xml:space="preserve">udział w konkursach, przetargach i programach pomocowych Unii Europejskiej, na przyznanie środków na działalność statutową;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9) </w:t>
      </w:r>
      <w:r>
        <w:rPr>
          <w:color w:val="000000"/>
        </w:rPr>
        <w:t xml:space="preserve">działalność wydawniczą i promocyjną o charakterze edukacyjnym;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10) </w:t>
      </w:r>
      <w:r>
        <w:rPr>
          <w:color w:val="000000"/>
        </w:rPr>
        <w:t xml:space="preserve">organizowanie form wypoczynku letniego i zimowego dla dzieci i młodzieży;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11) </w:t>
      </w:r>
      <w:r>
        <w:rPr>
          <w:color w:val="000000"/>
        </w:rPr>
        <w:t xml:space="preserve">działalność na rzecz ochrony środowiska przyrodniczego;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12) </w:t>
      </w:r>
      <w:r>
        <w:rPr>
          <w:color w:val="000000"/>
        </w:rPr>
        <w:t xml:space="preserve">współpraca z organami administracji rządowej, samorządów terytorialnych  oraz innymi instytucjami i organizacjami społecznymi;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13) </w:t>
      </w:r>
      <w:r>
        <w:rPr>
          <w:color w:val="000000"/>
        </w:rPr>
        <w:t xml:space="preserve">dzienna opieka na dziećmi i młodzieżą;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14) </w:t>
      </w:r>
      <w:r>
        <w:rPr>
          <w:color w:val="000000"/>
        </w:rPr>
        <w:t xml:space="preserve">realizacja programów i projektów zleconych i finansowanych ze środków krajowych;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15) </w:t>
      </w:r>
      <w:r>
        <w:rPr>
          <w:color w:val="000000"/>
        </w:rPr>
        <w:t xml:space="preserve">organizowanie imprez kulturalnych, sportowych, turystycznych i rekreacyjnych dla dzieci i młodzieży.”;</w:t>
      </w:r>
      <w:r>
        <w:t xml:space="preserve">;</w:t>
      </w:r>
      <w:r/>
    </w:p>
    <w:p>
      <w:pPr>
        <w:ind w:firstLine="340"/>
        <w:spacing w:after="120" w:before="120"/>
        <w:rPr>
          <w:color w:val="000000"/>
        </w:rPr>
      </w:pPr>
      <w:r>
        <w:rPr>
          <w:b/>
          <w:color w:val="000000"/>
        </w:rPr>
        <w:t xml:space="preserve">§9a.</w:t>
      </w:r>
      <w:r>
        <w:rPr>
          <w:color w:val="000000"/>
        </w:rPr>
        <w:t xml:space="preserve"> </w:t>
      </w:r>
      <w:r>
        <w:t xml:space="preserve">1. </w:t>
      </w:r>
      <w:r>
        <w:rPr>
          <w:color w:val="000000"/>
        </w:rPr>
        <w:t xml:space="preserve">Stowarzyszenie może prowadzić działalność gospodarczą zgodnie z obowiązującymi przepisami.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Dochód z działalności gospodarczej Stowarzyszenia, służy realizacji celów statutowych i nie może być przeznaczony do podziału pomiędzy jego członków.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3. </w:t>
      </w:r>
      <w:r>
        <w:rPr>
          <w:color w:val="000000"/>
        </w:rPr>
        <w:t xml:space="preserve">Stowarzyszenie może prowadzi działalność gospodarczą, której przedmiotem może być</w:t>
      </w:r>
      <w:r>
        <w:rPr>
          <w:color w:val="000000"/>
        </w:rPr>
        <w:t xml:space="preserve"> następujący zakres</w:t>
      </w:r>
      <w:r>
        <w:rPr>
          <w:color w:val="000000"/>
        </w:rPr>
        <w:t xml:space="preserve">: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1) </w:t>
      </w:r>
      <w:r>
        <w:rPr>
          <w:color w:val="000000"/>
        </w:rPr>
        <w:t xml:space="preserve">85.59.B - Pozostałe pozaszkolne formy edukacji, gdzie indziej niesklasyfikowane;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2) </w:t>
      </w:r>
      <w:r>
        <w:rPr>
          <w:color w:val="000000"/>
        </w:rPr>
        <w:t xml:space="preserve">85.60.Z - Działalność wspomagająca edukację;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3) </w:t>
      </w:r>
      <w:r>
        <w:rPr>
          <w:color w:val="000000"/>
        </w:rPr>
        <w:t xml:space="preserve">85.20.Z – Szkoły Podstawowe;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4) </w:t>
      </w:r>
      <w:r>
        <w:rPr>
          <w:color w:val="000000"/>
        </w:rPr>
        <w:t xml:space="preserve">85.31.B – Licea Ogólnokształcące;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5) </w:t>
      </w:r>
      <w:r>
        <w:rPr>
          <w:color w:val="000000"/>
        </w:rPr>
        <w:t xml:space="preserve">85.32.A – Technika;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6) </w:t>
      </w:r>
      <w:r>
        <w:rPr>
          <w:color w:val="000000"/>
        </w:rPr>
        <w:t xml:space="preserve">85.32.B – Zasadnicze Szkoły Zawodowe;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7) </w:t>
      </w:r>
      <w:r>
        <w:rPr>
          <w:color w:val="000000"/>
        </w:rPr>
        <w:t xml:space="preserve">85.51.Z - Pozaszkolne formy edukacji sportowej oraz zajęć sportowych i rekreacyjnych;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8) </w:t>
      </w:r>
      <w:r>
        <w:rPr>
          <w:color w:val="000000"/>
        </w:rPr>
        <w:t xml:space="preserve">85.59.A – Nauka języków obcych;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9) </w:t>
      </w:r>
      <w:r>
        <w:rPr>
          <w:color w:val="000000"/>
        </w:rPr>
        <w:t xml:space="preserve">85.41.Z – Szkoły Policealne;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10) </w:t>
      </w:r>
      <w:r>
        <w:rPr>
          <w:color w:val="000000"/>
        </w:rPr>
        <w:t xml:space="preserve">85.59.A – Nauka języków obcych;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11) </w:t>
      </w:r>
      <w:r>
        <w:rPr>
          <w:color w:val="000000"/>
        </w:rPr>
        <w:t xml:space="preserve">88.91.Z – Opieka dzienna nad dziećmi;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12) </w:t>
      </w:r>
      <w:r>
        <w:rPr>
          <w:color w:val="000000"/>
        </w:rPr>
        <w:t xml:space="preserve">74.30.Z – Działalność związana z tłumaczeniami;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13) </w:t>
      </w:r>
      <w:r>
        <w:rPr>
          <w:color w:val="000000"/>
        </w:rPr>
        <w:t xml:space="preserve">69.20.Z – Działalność rachunkowo - księgowa; doradztwo podatkowe;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14) </w:t>
      </w:r>
      <w:r>
        <w:rPr>
          <w:color w:val="000000"/>
        </w:rPr>
        <w:t xml:space="preserve">78.20.Z – Działalność agencji pracy tymczasowej;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15) </w:t>
      </w:r>
      <w:r>
        <w:rPr>
          <w:color w:val="000000"/>
        </w:rPr>
        <w:t xml:space="preserve">78.30.Z – Pozostała działalność związana z udostępnieniem pracowników;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16) </w:t>
      </w:r>
      <w:r>
        <w:rPr>
          <w:color w:val="000000"/>
        </w:rPr>
        <w:t xml:space="preserve">79.12.Z – Działalność organizatorów turystyki;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17) </w:t>
      </w:r>
      <w:r>
        <w:rPr>
          <w:color w:val="000000"/>
        </w:rPr>
        <w:t xml:space="preserve">79.90.C – Pozostała działalność usługowa w zakresie rezerwacji, gdzie indziej niesklasyfikowana;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18) </w:t>
      </w:r>
      <w:r>
        <w:rPr>
          <w:color w:val="000000"/>
        </w:rPr>
        <w:t xml:space="preserve">56.10.A - Restauracje i inne stałe placówki gastronomiczne;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19) </w:t>
      </w:r>
      <w:r>
        <w:rPr>
          <w:color w:val="000000"/>
        </w:rPr>
        <w:t xml:space="preserve">56.21.Z – Przygotowywanie i dostarczanie żywności dla odbiorców zewnętrznych (katering);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20) </w:t>
      </w:r>
      <w:r>
        <w:rPr>
          <w:color w:val="000000"/>
        </w:rPr>
        <w:t xml:space="preserve">56.30.Z – Przygotowywanie i podawanie napojów;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21) </w:t>
      </w:r>
      <w:r>
        <w:rPr>
          <w:color w:val="000000"/>
        </w:rPr>
        <w:t xml:space="preserve">56.10.B - Ruchome placówki gastronomiczne;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22) </w:t>
      </w:r>
      <w:r>
        <w:rPr>
          <w:color w:val="000000"/>
        </w:rPr>
        <w:t xml:space="preserve">49.41.Z - Transport drogowy towarów;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23) </w:t>
      </w:r>
      <w:r>
        <w:rPr>
          <w:color w:val="000000"/>
        </w:rPr>
        <w:t xml:space="preserve">47.99.Z - Pozostała sprzedaż detaliczna prowadzona poza siecią sklepową, straganami i targowiskami;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24) </w:t>
      </w:r>
      <w:r>
        <w:rPr>
          <w:color w:val="000000"/>
        </w:rPr>
        <w:t xml:space="preserve">58.11.Z – Wydawanie książek;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25) </w:t>
      </w:r>
      <w:r>
        <w:rPr>
          <w:color w:val="000000"/>
        </w:rPr>
        <w:t xml:space="preserve">58.13.Z – Wydawanie gazet;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26) </w:t>
      </w:r>
      <w:r>
        <w:rPr>
          <w:color w:val="000000"/>
        </w:rPr>
        <w:t xml:space="preserve">58.14.Z – Wydawanie czasopism i pozostałych periodyków;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27) </w:t>
      </w:r>
      <w:r>
        <w:rPr>
          <w:color w:val="000000"/>
        </w:rPr>
        <w:t xml:space="preserve">58.19.Z – Pozostała działalność wydawnicza;</w:t>
      </w:r>
      <w:r/>
    </w:p>
    <w:p>
      <w:pPr>
        <w:ind w:firstLine="340"/>
        <w:spacing w:after="120" w:before="120"/>
        <w:rPr>
          <w:color w:val="000000"/>
        </w:rPr>
      </w:pPr>
      <w:r>
        <w:t xml:space="preserve">28) </w:t>
      </w:r>
      <w:r>
        <w:rPr>
          <w:color w:val="000000"/>
        </w:rPr>
        <w:t xml:space="preserve">62.02.Z – Działalność związana z doradztwem w zakresie informatyki.</w:t>
      </w:r>
      <w:r/>
    </w:p>
    <w:p>
      <w:pPr>
        <w:jc w:val="center"/>
        <w:keepLines/>
        <w:keepNext/>
        <w:rPr>
          <w:color w:val="000000"/>
        </w:rPr>
      </w:pPr>
      <w:r>
        <w:rPr>
          <w:b/>
        </w:rPr>
        <w:t xml:space="preserve">Rozdział 3.</w:t>
      </w:r>
      <w:r>
        <w:rPr>
          <w:color w:val="000000"/>
        </w:rPr>
        <w:br/>
      </w:r>
      <w:r>
        <w:rPr>
          <w:b/>
          <w:color w:val="000000"/>
        </w:rPr>
        <w:t xml:space="preserve">CZŁONKOWIE STOWARZYSZENIA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10. </w:t>
      </w:r>
      <w:r>
        <w:t xml:space="preserve">1. </w:t>
      </w:r>
      <w:r>
        <w:rPr>
          <w:color w:val="000000"/>
        </w:rPr>
        <w:t xml:space="preserve"> Członkami Stowarzyszenia mogą być osoby fizyczne i prawne. Osoba prawna może być jedynie członkiem wspierającym Stowarzyszenia.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Stowarzyszenie posiada członków: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a) </w:t>
      </w:r>
      <w:r>
        <w:rPr>
          <w:color w:val="000000"/>
        </w:rPr>
        <w:t xml:space="preserve">zwyczajnych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b) </w:t>
      </w:r>
      <w:r>
        <w:rPr>
          <w:color w:val="000000"/>
        </w:rPr>
        <w:t xml:space="preserve">wspierających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c) </w:t>
      </w:r>
      <w:r>
        <w:rPr>
          <w:color w:val="000000"/>
        </w:rPr>
        <w:t xml:space="preserve">honorowych.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11. </w:t>
      </w:r>
      <w:r>
        <w:t xml:space="preserve">1. </w:t>
      </w:r>
      <w:r>
        <w:rPr>
          <w:color w:val="000000"/>
        </w:rPr>
        <w:t xml:space="preserve"> Członkiem zwyczajnym Stowarzyszenia może być każda osoba fizyczna, która aprobuje cele Stowarzyszenia i wyrazi chęć pracy dla ich urzeczywistnienia, a także złoży pisem</w:t>
      </w:r>
      <w:r>
        <w:rPr>
          <w:color w:val="000000"/>
        </w:rPr>
        <w:t xml:space="preserve">ną deklarację zawierającą: imię </w:t>
      </w:r>
      <w:r>
        <w:rPr>
          <w:color w:val="000000"/>
        </w:rPr>
        <w:t xml:space="preserve">i nazwisko, datę, miejsce urodzenia, adres zamieszkania, nr pesel – własnoręcznie podpisaną.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Członkiem zwyczajnym Stowarzyszenia pozostaje się na podstawie uchwały Zarządu Stowarzyszenia.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12. </w:t>
      </w:r>
      <w:r>
        <w:t xml:space="preserve">1. </w:t>
      </w:r>
      <w:r>
        <w:rPr>
          <w:color w:val="000000"/>
        </w:rPr>
        <w:t xml:space="preserve"> Członkiem wspierającym Stowarzysz</w:t>
      </w:r>
      <w:r>
        <w:rPr>
          <w:color w:val="000000"/>
        </w:rPr>
        <w:t xml:space="preserve">enie może zostać osoba fizyczna </w:t>
      </w:r>
      <w:r>
        <w:rPr>
          <w:color w:val="000000"/>
        </w:rPr>
        <w:t xml:space="preserve">lub prawna deklarująca pomoc finan</w:t>
      </w:r>
      <w:r>
        <w:rPr>
          <w:color w:val="000000"/>
        </w:rPr>
        <w:t xml:space="preserve">sową, rzeczową lub merytoryczną </w:t>
      </w:r>
      <w:r>
        <w:rPr>
          <w:color w:val="000000"/>
        </w:rPr>
        <w:t xml:space="preserve">w realizacji celów Stowarzyszenia.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Członkiem wspierającym staje się </w:t>
      </w:r>
      <w:r>
        <w:rPr>
          <w:color w:val="000000"/>
        </w:rPr>
        <w:t xml:space="preserve">po złożeniu pisemnej deklaracji </w:t>
      </w:r>
      <w:r>
        <w:rPr>
          <w:color w:val="000000"/>
        </w:rPr>
        <w:t xml:space="preserve">na podstawie uchwały Zarządu Stowarzyszenia.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13. </w:t>
      </w:r>
      <w:r>
        <w:t xml:space="preserve">1. </w:t>
      </w:r>
      <w:r>
        <w:rPr>
          <w:color w:val="000000"/>
        </w:rPr>
        <w:t xml:space="preserve"> Członkiem honorowym Stowarzyszenia może być osoba fizyczna, która wniosła wybitny wkład w działalność i rozwój Stowarzyszenia.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Członkiem honorowym staje się po przyjęciu uchwały przez Walne Zebranie na wniosek Zarządu lub co najmniej 6-ciu członków Stowarzyszenia.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14. </w:t>
      </w:r>
      <w:r>
        <w:rPr>
          <w:color w:val="000000"/>
        </w:rPr>
        <w:t xml:space="preserve">Członkowie zwyczajni mają prawo do: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a) </w:t>
      </w:r>
      <w:r>
        <w:rPr>
          <w:color w:val="000000"/>
        </w:rPr>
        <w:t xml:space="preserve">biernego i czynnego uczestnictwa w wyborach do władz Stowarzyszenia,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b) </w:t>
      </w:r>
      <w:r>
        <w:rPr>
          <w:color w:val="000000"/>
        </w:rPr>
        <w:t xml:space="preserve">udziału w realizacji celów Stowarzyszenia,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c) </w:t>
      </w:r>
      <w:r>
        <w:rPr>
          <w:color w:val="000000"/>
        </w:rPr>
        <w:t xml:space="preserve">korzystania z dorobku i wszelkich form działalności Stowarzyszenia,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d) </w:t>
      </w:r>
      <w:r>
        <w:rPr>
          <w:color w:val="000000"/>
        </w:rPr>
        <w:t xml:space="preserve">udziału w zebraniach, szkoleniach, wykładach oraz imprezach organizowanych przez Stowarzyszenie,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e) </w:t>
      </w:r>
      <w:r>
        <w:rPr>
          <w:color w:val="000000"/>
        </w:rPr>
        <w:t xml:space="preserve">zgłaszania postulatów i wniosków dotyczących działalności Stowarzyszenia.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15. </w:t>
      </w:r>
      <w:r>
        <w:rPr>
          <w:color w:val="000000"/>
        </w:rPr>
        <w:t xml:space="preserve">Członkowie zwyczajni mają obowiązek: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a) </w:t>
      </w:r>
      <w:r>
        <w:rPr>
          <w:color w:val="000000"/>
        </w:rPr>
        <w:t xml:space="preserve">brania udziału w działalności Stowarzyszenia i w realizacji jego celów,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b) </w:t>
      </w:r>
      <w:r>
        <w:rPr>
          <w:color w:val="000000"/>
        </w:rPr>
        <w:t xml:space="preserve">uczestniczenia w Walnych Zebraniach jego członków,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c) </w:t>
      </w:r>
      <w:r>
        <w:rPr>
          <w:color w:val="000000"/>
        </w:rPr>
        <w:t xml:space="preserve">przestrzegania Statutu i uchwał władz Stowarzyszenia,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d) </w:t>
      </w:r>
      <w:r>
        <w:rPr>
          <w:color w:val="000000"/>
        </w:rPr>
        <w:t xml:space="preserve">regularnego opłacania składek członkowskich.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16. </w:t>
      </w:r>
      <w:r>
        <w:t xml:space="preserve">1. </w:t>
      </w:r>
      <w:r>
        <w:rPr>
          <w:color w:val="000000"/>
        </w:rPr>
        <w:t xml:space="preserve"> Członkowie wspierający i honorowi nie posiadają biernego oraz czynnego prawa wyborczego, mogą jednak</w:t>
      </w:r>
      <w:r>
        <w:rPr>
          <w:color w:val="000000"/>
        </w:rPr>
        <w:t xml:space="preserve"> brać udział z głosem doradczym </w:t>
      </w:r>
      <w:r>
        <w:rPr>
          <w:color w:val="000000"/>
        </w:rPr>
        <w:t xml:space="preserve">w posiedzeniach statutowych władz Stowarzyszenia, poza tym posiadają takie prawa jak członkowie zwyczajni.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Członek wspierający ma obow</w:t>
      </w:r>
      <w:r>
        <w:rPr>
          <w:color w:val="000000"/>
        </w:rPr>
        <w:t xml:space="preserve">iązek wywiązywania się </w:t>
      </w:r>
      <w:r>
        <w:rPr>
          <w:color w:val="000000"/>
        </w:rPr>
        <w:t xml:space="preserve">z zadeklarowanych świadczeń, przestrzegania Statutu oraz uchwał władz Stowarzyszenia.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3. </w:t>
      </w:r>
      <w:r>
        <w:rPr>
          <w:color w:val="000000"/>
        </w:rPr>
        <w:t xml:space="preserve">Członkowie honorowi są zwolnieni ze składek członkowskich.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17. </w:t>
      </w:r>
      <w:r>
        <w:t xml:space="preserve">1. </w:t>
      </w:r>
      <w:r>
        <w:rPr>
          <w:color w:val="000000"/>
        </w:rPr>
        <w:t xml:space="preserve"> Utrata </w:t>
      </w:r>
      <w:r>
        <w:rPr>
          <w:color w:val="000000"/>
        </w:rPr>
        <w:t xml:space="preserve">członkostwa</w:t>
      </w:r>
      <w:r>
        <w:rPr>
          <w:color w:val="000000"/>
        </w:rPr>
        <w:t xml:space="preserve"> następuje na skutek: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a) </w:t>
      </w:r>
      <w:r>
        <w:rPr>
          <w:color w:val="000000"/>
        </w:rPr>
        <w:t xml:space="preserve">pisemnej rezygnacji złożonej na ręce Zarządu,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b) </w:t>
      </w:r>
      <w:r>
        <w:rPr>
          <w:color w:val="000000"/>
        </w:rPr>
        <w:t xml:space="preserve">wykluczenia przez Zarząd:</w:t>
      </w:r>
      <w:r/>
    </w:p>
    <w:p>
      <w:pPr>
        <w:ind w:left="454" w:hanging="113"/>
        <w:keepLines/>
        <w:spacing w:after="120" w:before="120"/>
        <w:rPr>
          <w:color w:val="000000"/>
        </w:rPr>
      </w:pPr>
      <w:r>
        <w:rPr>
          <w:cs/>
          <w:lang w:bidi="mn-Mong-CN"/>
        </w:rPr>
        <w:t xml:space="preserve">᠆</w:t>
      </w:r>
      <w:r>
        <w:t xml:space="preserve"> </w:t>
      </w:r>
      <w:r>
        <w:rPr>
          <w:color w:val="000000"/>
        </w:rPr>
        <w:t xml:space="preserve">z powodu rażącego naruszenia zasad statutowych, nieprzestrzegania postanowień i uchwał władz Stowarzyszenia,</w:t>
      </w:r>
      <w:r/>
    </w:p>
    <w:p>
      <w:pPr>
        <w:ind w:left="454" w:hanging="113"/>
        <w:keepLines/>
        <w:spacing w:after="120" w:before="120"/>
        <w:rPr>
          <w:color w:val="000000"/>
        </w:rPr>
      </w:pPr>
      <w:r>
        <w:rPr>
          <w:cs/>
          <w:lang w:bidi="mn-Mong-CN"/>
        </w:rPr>
        <w:t xml:space="preserve">᠆</w:t>
      </w:r>
      <w:r>
        <w:t xml:space="preserve"> </w:t>
      </w:r>
      <w:r>
        <w:rPr>
          <w:color w:val="000000"/>
        </w:rPr>
        <w:t xml:space="preserve">ze względu na brak aktywnej działalności na rzecz Stowarzyszenia,</w:t>
      </w:r>
      <w:r/>
    </w:p>
    <w:p>
      <w:pPr>
        <w:ind w:left="454" w:hanging="113"/>
        <w:keepLines/>
        <w:spacing w:after="120" w:before="120"/>
        <w:rPr>
          <w:color w:val="000000"/>
        </w:rPr>
      </w:pPr>
      <w:r>
        <w:rPr>
          <w:cs/>
          <w:lang w:bidi="mn-Mong-CN"/>
        </w:rPr>
        <w:t xml:space="preserve">᠆</w:t>
      </w:r>
      <w:r>
        <w:t xml:space="preserve"> </w:t>
      </w:r>
      <w:r>
        <w:rPr>
          <w:color w:val="000000"/>
        </w:rPr>
        <w:t xml:space="preserve">w przypadku działania na szkodę Stowarzyszenia,</w:t>
      </w:r>
      <w:r/>
    </w:p>
    <w:p>
      <w:pPr>
        <w:ind w:left="454" w:hanging="113"/>
        <w:keepLines/>
        <w:spacing w:after="120" w:before="120"/>
        <w:rPr>
          <w:color w:val="000000"/>
        </w:rPr>
      </w:pPr>
      <w:r>
        <w:rPr>
          <w:cs/>
          <w:lang w:bidi="mn-Mong-CN"/>
        </w:rPr>
        <w:t xml:space="preserve">᠆</w:t>
      </w:r>
      <w:r>
        <w:t xml:space="preserve"> </w:t>
      </w:r>
      <w:r>
        <w:rPr>
          <w:color w:val="000000"/>
        </w:rPr>
        <w:t xml:space="preserve">z powodu nie płacenia składek za okres pół roku.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c) </w:t>
      </w:r>
      <w:r>
        <w:rPr>
          <w:color w:val="000000"/>
        </w:rPr>
        <w:t xml:space="preserve">utraty praw obywatelskich na mocy prawomocnego wyroku sądu,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d) </w:t>
      </w:r>
      <w:r>
        <w:rPr>
          <w:color w:val="000000"/>
        </w:rPr>
        <w:t xml:space="preserve">utraty osobowości prawnej przez członka wspierającego,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e) </w:t>
      </w:r>
      <w:r>
        <w:rPr>
          <w:color w:val="000000"/>
        </w:rPr>
        <w:t xml:space="preserve">śmierci członka.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Ustanie </w:t>
      </w:r>
      <w:r>
        <w:rPr>
          <w:color w:val="000000"/>
        </w:rPr>
        <w:t xml:space="preserve">członkostwa</w:t>
      </w:r>
      <w:r>
        <w:rPr>
          <w:color w:val="000000"/>
        </w:rPr>
        <w:t xml:space="preserve"> z przyczyn określonych w ust.1 stwierdza Zarząd w formie uchwały.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3. </w:t>
      </w:r>
      <w:r>
        <w:rPr>
          <w:color w:val="000000"/>
        </w:rPr>
        <w:t xml:space="preserve">Od uchwały Zarządu w sprawie nie przyjęcia w poczet Stowarzyszenia lub pozbawienia członkostwa, zainteresowanemu przysługuje odwołanie do Walnego Zebrania Członków, złoż</w:t>
      </w:r>
      <w:r>
        <w:rPr>
          <w:color w:val="000000"/>
        </w:rPr>
        <w:t xml:space="preserve">one na piśmie w terminie 14 dni </w:t>
      </w:r>
      <w:r>
        <w:rPr>
          <w:color w:val="000000"/>
        </w:rPr>
        <w:t xml:space="preserve">od daty otrzymania decyzji Zarządu. Odwołanie jest rozpatrywane na najbliższym Walnym Zebraniu Członków. Uchwała Walnego Zebrania Członków jest ostateczna.</w:t>
      </w:r>
      <w:r/>
    </w:p>
    <w:p>
      <w:pPr>
        <w:jc w:val="center"/>
        <w:keepLines/>
        <w:keepNext/>
        <w:rPr>
          <w:color w:val="000000"/>
        </w:rPr>
      </w:pPr>
      <w:r>
        <w:rPr>
          <w:b/>
        </w:rPr>
        <w:t xml:space="preserve">Rozdział 4.</w:t>
      </w:r>
      <w:r>
        <w:rPr>
          <w:color w:val="000000"/>
        </w:rPr>
        <w:br/>
      </w:r>
      <w:r>
        <w:rPr>
          <w:b/>
          <w:color w:val="000000"/>
        </w:rPr>
        <w:t xml:space="preserve">WŁADZE STOWARZYSZENIA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18. </w:t>
      </w:r>
      <w:r>
        <w:rPr>
          <w:color w:val="000000"/>
        </w:rPr>
        <w:t xml:space="preserve">Władzami Stowarzyszenia są: Walne Zebranie Członków, Zarząd, Komisja Rewizyjna.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19. </w:t>
      </w:r>
      <w:r>
        <w:t xml:space="preserve">1. </w:t>
      </w:r>
      <w:r>
        <w:rPr>
          <w:color w:val="000000"/>
        </w:rPr>
        <w:t xml:space="preserve"> </w:t>
      </w:r>
      <w:r>
        <w:rPr>
          <w:color w:val="000000"/>
        </w:rPr>
        <w:t xml:space="preserve">Zarząd oraz Komisja Rewizyjna wybierane są przez Walne Zebranie Członków w głosowaniu jawnym zwykłą większością głosów. Walne zebranie może zdecydować o przeprowadzeniu głosowania tajnego.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W przypadku zmniejszenia się liczby członkó</w:t>
      </w:r>
      <w:r>
        <w:rPr>
          <w:color w:val="000000"/>
        </w:rPr>
        <w:t xml:space="preserve">w Zarządu w trakcie trwania </w:t>
      </w:r>
      <w:r>
        <w:rPr>
          <w:color w:val="000000"/>
        </w:rPr>
        <w:t xml:space="preserve">kadencji, Zarządowi przysługuje p</w:t>
      </w:r>
      <w:r>
        <w:rPr>
          <w:color w:val="000000"/>
        </w:rPr>
        <w:t xml:space="preserve">rawo kooptacji spośród członków </w:t>
      </w:r>
      <w:r>
        <w:rPr>
          <w:color w:val="000000"/>
        </w:rPr>
        <w:t xml:space="preserve">Stowarzyszenia. Jednak nie więcej </w:t>
      </w:r>
      <w:r>
        <w:rPr>
          <w:color w:val="000000"/>
        </w:rPr>
        <w:t xml:space="preserve">niż 2 członków Zarządu może być </w:t>
      </w:r>
      <w:r>
        <w:rPr>
          <w:color w:val="000000"/>
        </w:rPr>
        <w:t xml:space="preserve">dokooptowana bez wyborów. Dok</w:t>
      </w:r>
      <w:r>
        <w:rPr>
          <w:color w:val="000000"/>
        </w:rPr>
        <w:t xml:space="preserve">ooptowany członek Zarządu pełni </w:t>
      </w:r>
      <w:r>
        <w:rPr>
          <w:color w:val="000000"/>
        </w:rPr>
        <w:t xml:space="preserve">swoją funkcję do czasu zwołania najb</w:t>
      </w:r>
      <w:r>
        <w:rPr>
          <w:color w:val="000000"/>
        </w:rPr>
        <w:t xml:space="preserve">liższego Walnego Zebrania. </w:t>
      </w:r>
      <w:r>
        <w:rPr>
          <w:color w:val="000000"/>
        </w:rPr>
        <w:t xml:space="preserve">W razie gdy zmniejszenie liczby</w:t>
      </w:r>
      <w:r>
        <w:rPr>
          <w:color w:val="000000"/>
        </w:rPr>
        <w:t xml:space="preserve"> członków Zarządu wyłącza prawo </w:t>
      </w:r>
      <w:r>
        <w:rPr>
          <w:color w:val="000000"/>
        </w:rPr>
        <w:t xml:space="preserve">kooptacji, niezwłocznie zwołuje się Walne Zebranie celem wyboru nowego</w:t>
      </w:r>
      <w:r>
        <w:rPr>
          <w:color w:val="000000"/>
        </w:rPr>
        <w:t xml:space="preserve"> Zarządu. W takim wypadku Walne Zebranie może być zwołane </w:t>
      </w:r>
      <w:r>
        <w:rPr>
          <w:color w:val="000000"/>
        </w:rPr>
        <w:t xml:space="preserve">na wniosek każdego członka Zarządu i Przewodniczącego Komisji Rewizyjnej.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3. </w:t>
      </w:r>
      <w:r>
        <w:rPr>
          <w:color w:val="000000"/>
        </w:rPr>
        <w:t xml:space="preserve">W przypadku zmniejszenia się lic</w:t>
      </w:r>
      <w:r>
        <w:rPr>
          <w:color w:val="000000"/>
        </w:rPr>
        <w:t xml:space="preserve">zby członków Komisji Rewizyjnej </w:t>
      </w:r>
      <w:r>
        <w:rPr>
          <w:color w:val="000000"/>
        </w:rPr>
        <w:t xml:space="preserve">w trakcie trwania kadencji, Komisji Rewizyjnej przysługuje prawo kooptacji spośród członków Stowar</w:t>
      </w:r>
      <w:r>
        <w:rPr>
          <w:color w:val="000000"/>
        </w:rPr>
        <w:t xml:space="preserve">zyszenia. Jednak nie więcej niż </w:t>
      </w:r>
      <w:r>
        <w:rPr>
          <w:color w:val="000000"/>
        </w:rPr>
        <w:t xml:space="preserve">1/3 członków Komisji Rewizyjnej może być dokooptowana bez wyborów. Dokooptowany członek Komisji Rewizyjnej pełni swoją funkcję do czasu zwołania najbliższego Walnego Zebrania.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4. </w:t>
      </w:r>
      <w:r>
        <w:rPr>
          <w:color w:val="000000"/>
        </w:rPr>
        <w:t xml:space="preserve">Władze Stowarzyszenia zachowują swoje kompetencje w okresie pomiędzy końcem kadencji, a terminem najbliższego Walnego Zebrania.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20. </w:t>
      </w:r>
      <w:r>
        <w:t xml:space="preserve">1. </w:t>
      </w:r>
      <w:r>
        <w:rPr>
          <w:color w:val="000000"/>
        </w:rPr>
        <w:t xml:space="preserve">Uchwały wszystkich władz Stowarzyszenia zapadają w głosowaniu jawnym zwykłą większością głosów, przy obecności co najmniej p</w:t>
      </w:r>
      <w:r>
        <w:rPr>
          <w:color w:val="000000"/>
        </w:rPr>
        <w:t xml:space="preserve">ołowy członków uprawnionych do głosowania w pierwszym terminie, w drugim terminie bez względu na liczbę obecnych członków, za wyjątkiem sytuacji gdy postanowienia Statutu stanowią inaczej, w tym podejmowanie uchwał w przedmiocie rozwiązania Stowarzyszenia.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Jeżeli członkowie władzy stowarzyszenia wyrażą na to zgodę w formie pisemnego oświadczenia, głosowanie poza posiedzeniami władz stowarzyszenia może odbywać się z wykorzystaniem środków komunikacji elektronicznej.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3. </w:t>
      </w:r>
      <w:r>
        <w:rPr>
          <w:color w:val="000000"/>
        </w:rPr>
        <w:t xml:space="preserve">Możliwość udziału w posiedzeniu władz stowarzyszenia przy wykorzystaniu środków komunikacji elektronicznej jest wskazana w zawiadomieniu o tym zebraniu, zawierającym dokładny opis sposobu uczestnictwa i wykonywania prawa głosu.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4. </w:t>
      </w:r>
      <w:r>
        <w:rPr>
          <w:color w:val="000000"/>
        </w:rPr>
        <w:t xml:space="preserve">Wykorzystanie środków komunikacji elektronicznej w głosowaniach na posiedzeniach władzy stowarzyszenia odbywa się przy zapewnieniu co najmniej: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1) </w:t>
      </w:r>
      <w:r>
        <w:rPr>
          <w:color w:val="000000"/>
        </w:rPr>
        <w:t xml:space="preserve">transmisji obrad posiedzenia w czasie rzeczywistym;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2) </w:t>
      </w:r>
      <w:r>
        <w:rPr>
          <w:color w:val="000000"/>
        </w:rPr>
        <w:t xml:space="preserve">dwustronnej komunikacji w czasie rzeczywistym, w ramach której członek władzy stowarzyszenia może wypowiadać się w toku obrad;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3) </w:t>
      </w:r>
      <w:r>
        <w:rPr>
          <w:color w:val="000000"/>
        </w:rPr>
        <w:t xml:space="preserve">wykonywania osobiście lub przez pełnomocnika prawa głosu przed lub w toku posiedzenia.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5. </w:t>
      </w:r>
      <w:r>
        <w:rPr>
          <w:color w:val="000000"/>
        </w:rPr>
        <w:t xml:space="preserve">Rozwiązania, o których mowa w ust. 2-4, stosuje się w przypadku </w:t>
      </w:r>
      <w:r>
        <w:rPr>
          <w:color w:val="000000"/>
        </w:rPr>
        <w:t xml:space="preserve">wprowadzenia stanu zagrożenia epidemicznego lub stanu epidemii, o których mowa w ustawie z dnia 5 grudnia 2008 r. o zapobieganiu oraz zwalczaniu zakażeń i chorób zakaźnych u ludzi (Dz. U. z 2019 r. poz. 1239 i 1495 oraz z 2020 r. poz. 284, 322, 374 i 567).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21. </w:t>
      </w:r>
      <w:r>
        <w:rPr>
          <w:color w:val="000000"/>
        </w:rPr>
        <w:t xml:space="preserve">Kadencja wszystkich wybieralnych władz Stowarzyszenia trwa 3 lata.</w:t>
      </w:r>
      <w:r/>
    </w:p>
    <w:p>
      <w:pPr>
        <w:jc w:val="center"/>
        <w:spacing w:after="280" w:before="280"/>
        <w:rPr>
          <w:b/>
          <w:color w:val="000000"/>
        </w:rPr>
      </w:pPr>
      <w:r>
        <w:rPr>
          <w:b/>
          <w:color w:val="000000"/>
        </w:rPr>
        <w:t xml:space="preserve">Walne Zebranie Członków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22. </w:t>
      </w:r>
      <w:r>
        <w:t xml:space="preserve">1. </w:t>
      </w:r>
      <w:r>
        <w:rPr>
          <w:color w:val="000000"/>
        </w:rPr>
        <w:t xml:space="preserve"> Najwyższą władzą Stowarzyszenia jest Walne Zebranie Członków.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Walne Zebranie może być zwyczajne i nadzwyczajne.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3. </w:t>
      </w:r>
      <w:r>
        <w:rPr>
          <w:color w:val="000000"/>
        </w:rPr>
        <w:t xml:space="preserve">Zwyczajne Walne Zebrania zw</w:t>
      </w:r>
      <w:r>
        <w:rPr>
          <w:color w:val="000000"/>
        </w:rPr>
        <w:t xml:space="preserve">ołuje Zarząd raz w roku, jako sprawozdawcze, i co trzy lata, jako sprawozdawczo-wyborcze, zawiadamiając członków o jego terminie, miejscu i proponowanym porządku obrad co najmniej na 14 dni przed terminem Walnego Zebrania. Jeśli na zebraniu nie ma wymagane</w:t>
      </w:r>
      <w:r>
        <w:rPr>
          <w:color w:val="000000"/>
        </w:rPr>
        <w:t xml:space="preserve">go kworum, zwołuje się zebranie </w:t>
      </w:r>
      <w:r>
        <w:rPr>
          <w:color w:val="000000"/>
        </w:rPr>
        <w:t xml:space="preserve">w drugim terminie nie później niż w ciągu miesiąca od dnia zwołania Walnego Zebrania Członków.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4. </w:t>
      </w:r>
      <w:r>
        <w:rPr>
          <w:color w:val="000000"/>
        </w:rPr>
        <w:t xml:space="preserve">(skreślony)</w:t>
      </w:r>
      <w:r>
        <w:rPr>
          <w:color w:val="000000"/>
        </w:rPr>
        <w:t xml:space="preserve">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5. </w:t>
      </w:r>
      <w:r>
        <w:rPr>
          <w:color w:val="000000"/>
        </w:rPr>
        <w:t xml:space="preserve">Nadzwyczajne Walne Zebranie zwołuje Zarząd: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a) </w:t>
      </w:r>
      <w:r>
        <w:rPr>
          <w:color w:val="000000"/>
        </w:rPr>
        <w:t xml:space="preserve">z własnej inicjatywy,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b) </w:t>
      </w:r>
      <w:r>
        <w:rPr>
          <w:color w:val="000000"/>
        </w:rPr>
        <w:t xml:space="preserve">na żądanie członków Komisji Rewizyjnej,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c) </w:t>
      </w:r>
      <w:r>
        <w:rPr>
          <w:color w:val="000000"/>
        </w:rPr>
        <w:t xml:space="preserve">na pisemny wniosek co najmniej 1/3 ogólnej liczby członków zwyczajnych Stowarzyszenia.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6. </w:t>
      </w:r>
      <w:r>
        <w:rPr>
          <w:color w:val="000000"/>
        </w:rPr>
        <w:t xml:space="preserve">Nadzwyczajne Walne Zebranie powin</w:t>
      </w:r>
      <w:r>
        <w:rPr>
          <w:color w:val="000000"/>
        </w:rPr>
        <w:t xml:space="preserve">no zostać zwołane przed upływem </w:t>
      </w:r>
      <w:r>
        <w:rPr>
          <w:color w:val="000000"/>
        </w:rPr>
        <w:t xml:space="preserve">21 dni od daty zgłoszenia wnio</w:t>
      </w:r>
      <w:r>
        <w:rPr>
          <w:color w:val="000000"/>
        </w:rPr>
        <w:t xml:space="preserve">sku lub żądania i obradować nad </w:t>
      </w:r>
      <w:r>
        <w:rPr>
          <w:color w:val="000000"/>
        </w:rPr>
        <w:t xml:space="preserve">sprawami, dla których zostało zwołane.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23. </w:t>
      </w:r>
      <w:r>
        <w:t xml:space="preserve">1. </w:t>
      </w:r>
      <w:r>
        <w:rPr>
          <w:color w:val="000000"/>
        </w:rPr>
        <w:t xml:space="preserve"> Do kompetencji Walnego Zebrania należy: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a) </w:t>
      </w:r>
      <w:r>
        <w:rPr>
          <w:color w:val="000000"/>
        </w:rPr>
        <w:tab/>
        <w:t xml:space="preserve">określenie głównych kierunków działania i rozwoju Stowarzysz</w:t>
      </w:r>
      <w:r>
        <w:rPr>
          <w:color w:val="000000"/>
        </w:rPr>
        <w:t xml:space="preserve">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rPr>
          <w:color w:val="000000"/>
        </w:rPr>
        <w:t xml:space="preserve">b) uchwalanie zmian Statutu,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c) </w:t>
      </w:r>
      <w:r>
        <w:rPr>
          <w:color w:val="000000"/>
        </w:rPr>
        <w:tab/>
        <w:t xml:space="preserve">wybór i odwoływanie wszystkich władz Stowarzyszenia,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d) </w:t>
      </w:r>
      <w:r>
        <w:rPr>
          <w:color w:val="000000"/>
        </w:rPr>
        <w:t xml:space="preserve">udzielanie Zarządowi absolutorium na wniosek Komisji Rewizyjnej,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e) </w:t>
      </w:r>
      <w:r>
        <w:rPr>
          <w:color w:val="000000"/>
        </w:rPr>
        <w:tab/>
        <w:t xml:space="preserve">rozpatrywanie i zatwierdzanie sprawozdań władz Stowarzyszenia,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f) </w:t>
      </w:r>
      <w:r>
        <w:rPr>
          <w:color w:val="000000"/>
        </w:rPr>
        <w:t xml:space="preserve">rozpatrywanie wniosków i postulatów zgłoszonych przez członków Stowarzyszenia lub jego władze,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g) </w:t>
      </w:r>
      <w:r>
        <w:rPr>
          <w:color w:val="000000"/>
        </w:rPr>
        <w:t xml:space="preserve">uchwalanie wysokości składek członkowskich oraz wszystkich innych świadczeń na rzecz Stowarzyszenia,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h) </w:t>
      </w:r>
      <w:r>
        <w:rPr>
          <w:color w:val="000000"/>
        </w:rPr>
        <w:t xml:space="preserve">rozpatrywanie odwołań od uchwał Zarządu,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i) </w:t>
      </w:r>
      <w:r>
        <w:rPr>
          <w:color w:val="000000"/>
        </w:rPr>
        <w:t xml:space="preserve">podejmowanie uchwały o rozwiązaniu Stowarzyszenia i przeznaczeniu jego majątku,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j) </w:t>
      </w:r>
      <w:r>
        <w:rPr>
          <w:color w:val="000000"/>
        </w:rPr>
        <w:t xml:space="preserve">podejmowanie uchwał w sprawie przyjęcia członka honorowego,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k) </w:t>
      </w:r>
      <w:r>
        <w:rPr>
          <w:color w:val="000000"/>
        </w:rPr>
        <w:t xml:space="preserve">podejmowanie uchwał we wszystkich sprawach niezastrzeżonych do kompetencji innych władz Stowarzyszenia,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l) </w:t>
      </w:r>
      <w:r>
        <w:rPr>
          <w:color w:val="000000"/>
        </w:rPr>
        <w:t xml:space="preserve">uchwalanie regulaminów: Walnego Zebrania Członków, Zarządu Stowarzyszenia, Komisji Rewizyjnej i innych.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W Walnym Zebraniu Członków biorą udział: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a) </w:t>
      </w:r>
      <w:r>
        <w:rPr>
          <w:color w:val="000000"/>
        </w:rPr>
        <w:t xml:space="preserve">z głosem stanowiącym – członkowie zwyczajni,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b) </w:t>
      </w:r>
      <w:r>
        <w:rPr>
          <w:color w:val="000000"/>
        </w:rPr>
        <w:t xml:space="preserve">z głosem doradczym – członkowie wspierający, honorowi oraz zaproszeni goście.</w:t>
      </w:r>
      <w:r/>
    </w:p>
    <w:p>
      <w:pPr>
        <w:jc w:val="center"/>
        <w:spacing w:after="280" w:before="280"/>
        <w:rPr>
          <w:b/>
          <w:color w:val="000000"/>
        </w:rPr>
      </w:pPr>
      <w:r>
        <w:rPr>
          <w:b/>
          <w:color w:val="000000"/>
        </w:rPr>
        <w:t xml:space="preserve">Zarząd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24. </w:t>
      </w:r>
      <w:r>
        <w:rPr>
          <w:color w:val="000000"/>
        </w:rPr>
        <w:t xml:space="preserve">Zarząd jest powołany do kierowania całą działalnością Stowarzyszenia zgodnie z uchwałami Walnego Zebrania Członków. Reprezentuje Stowarzyszenie na zewnątrz.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25. </w:t>
      </w:r>
      <w:r>
        <w:rPr>
          <w:color w:val="000000"/>
        </w:rPr>
        <w:t xml:space="preserve">Zarząd składa się z 3-osób, z spośród których wybiera się Prezesa, Wiceprezesa i Skarbnika</w:t>
      </w:r>
      <w:r>
        <w:rPr>
          <w:color w:val="000000"/>
        </w:rPr>
        <w:t xml:space="preserve">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26. </w:t>
      </w:r>
      <w:r>
        <w:rPr>
          <w:color w:val="000000"/>
        </w:rPr>
        <w:t xml:space="preserve">Posiedzenia Zarządu odbywają się w miarę potrzeb, nie rzadziej jednak niż raz na kwartał. Posiedzenia Zarządu zwołuje Prezes.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27. </w:t>
      </w:r>
      <w:r>
        <w:t xml:space="preserve">1. </w:t>
      </w:r>
      <w:r>
        <w:rPr>
          <w:color w:val="000000"/>
        </w:rPr>
        <w:t xml:space="preserve"> Do kompetencji Zarządu należy: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a) </w:t>
      </w:r>
      <w:r>
        <w:rPr>
          <w:color w:val="000000"/>
        </w:rPr>
        <w:t xml:space="preserve">realizacja celów stowarzyszenia,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b) </w:t>
      </w:r>
      <w:r>
        <w:rPr>
          <w:color w:val="000000"/>
        </w:rPr>
        <w:t xml:space="preserve">kierowanie bieżącą pracą Stowarzyszenia,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c) </w:t>
      </w:r>
      <w:r>
        <w:rPr>
          <w:color w:val="000000"/>
        </w:rPr>
        <w:t xml:space="preserve">realizowanie uchwał Walnego Zebrania,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d) </w:t>
      </w:r>
      <w:r>
        <w:rPr>
          <w:color w:val="000000"/>
        </w:rPr>
        <w:t xml:space="preserve">zarządzanie majątkiem i funduszami Stowarzyszenia,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e) </w:t>
      </w:r>
      <w:r>
        <w:rPr>
          <w:color w:val="000000"/>
        </w:rPr>
        <w:t xml:space="preserve">planowanie i prowadzenie gospodarki finansowej, w tym podejmowanie decyzji o sposobach i formach pozyskiwania środków na działalność Stowarzyszenia,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f) </w:t>
      </w:r>
      <w:r>
        <w:rPr>
          <w:color w:val="000000"/>
        </w:rPr>
        <w:t xml:space="preserve">reprezentowanie Stowarzyszenia na zewnątrz i działanie w jego imieniu,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g) </w:t>
      </w:r>
      <w:r>
        <w:rPr>
          <w:color w:val="000000"/>
        </w:rPr>
        <w:t xml:space="preserve">przyjmowanie i wykluczanie członków Stowarzyszenia,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h) </w:t>
      </w:r>
      <w:r>
        <w:rPr>
          <w:color w:val="000000"/>
        </w:rPr>
        <w:t xml:space="preserve">zwoływanie Walnego Zebrania,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i) </w:t>
      </w:r>
      <w:r>
        <w:rPr>
          <w:color w:val="000000"/>
        </w:rPr>
        <w:t xml:space="preserve">ustalanie wysokości składek członkowskich,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j) </w:t>
      </w:r>
      <w:r>
        <w:rPr>
          <w:color w:val="000000"/>
        </w:rPr>
        <w:t xml:space="preserve">prowadzenie dokumentacji członkowskiej.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Szczegółowe zasady działania Zarządu określa Regulamin Zarządu.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28. </w:t>
      </w:r>
      <w:r>
        <w:t xml:space="preserve">1. </w:t>
      </w:r>
      <w:r>
        <w:rPr>
          <w:color w:val="000000"/>
        </w:rPr>
        <w:t xml:space="preserve"> Członek Zarządu może być odwołany w trakcie trwania kadencji wyłącznie w wyniku: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a) </w:t>
      </w:r>
      <w:r>
        <w:rPr>
          <w:color w:val="000000"/>
        </w:rPr>
        <w:t xml:space="preserve">wykonywania działalności, której charakter uniemożliwia wykonywanie funkcji Członka Zarządu oraz podejmowanie działań szkodzących Stowarzyszeniu,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b) </w:t>
      </w:r>
      <w:r>
        <w:rPr>
          <w:color w:val="000000"/>
        </w:rPr>
        <w:t xml:space="preserve">niespełnienia obowiązków Członka Zarządu przez okres dłuższy niż trzy miesiące,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c) </w:t>
      </w:r>
      <w:r>
        <w:rPr>
          <w:color w:val="000000"/>
        </w:rPr>
        <w:t xml:space="preserve">stwierdzenia długotrwałej niezdolności do pracy przez komisję lekarską,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d) </w:t>
      </w:r>
      <w:r>
        <w:rPr>
          <w:color w:val="000000"/>
        </w:rPr>
        <w:t xml:space="preserve">istotnego naruszenia postanowień Statutu,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e) </w:t>
      </w:r>
      <w:r>
        <w:rPr>
          <w:color w:val="000000"/>
        </w:rPr>
        <w:t xml:space="preserve">prawomocnego skazania przez sąd.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Odwołanie Członka Zarządu i prze</w:t>
      </w:r>
      <w:r>
        <w:rPr>
          <w:color w:val="000000"/>
        </w:rPr>
        <w:t xml:space="preserve">z to pozbawienie go członkostwa </w:t>
      </w:r>
      <w:r>
        <w:rPr>
          <w:color w:val="000000"/>
        </w:rPr>
        <w:t xml:space="preserve">w Zarządzie, może nastąpić w wyni</w:t>
      </w:r>
      <w:r>
        <w:rPr>
          <w:color w:val="000000"/>
        </w:rPr>
        <w:t xml:space="preserve">ku uchwały podjętej przez Walne </w:t>
      </w:r>
      <w:r>
        <w:rPr>
          <w:color w:val="000000"/>
        </w:rPr>
        <w:t xml:space="preserve">Zebranie.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3. </w:t>
      </w:r>
      <w:r>
        <w:rPr>
          <w:color w:val="000000"/>
        </w:rPr>
        <w:t xml:space="preserve">Członkostwo w Zarządzie ustaje w przypadku pise</w:t>
      </w:r>
      <w:r>
        <w:rPr>
          <w:color w:val="000000"/>
        </w:rPr>
        <w:t xml:space="preserve">mnej rezygnacji </w:t>
      </w:r>
      <w:r>
        <w:rPr>
          <w:color w:val="000000"/>
        </w:rPr>
        <w:t xml:space="preserve">z członkostwa złożonej na ręce Prez</w:t>
      </w:r>
      <w:r>
        <w:rPr>
          <w:color w:val="000000"/>
        </w:rPr>
        <w:t xml:space="preserve">esa Zarządu lub śmierci Członka </w:t>
      </w:r>
      <w:r>
        <w:rPr>
          <w:color w:val="000000"/>
        </w:rPr>
        <w:t xml:space="preserve">Zarządu.</w:t>
      </w:r>
      <w:r/>
    </w:p>
    <w:p>
      <w:pPr>
        <w:jc w:val="center"/>
        <w:spacing w:after="280" w:before="280"/>
        <w:rPr>
          <w:b/>
          <w:color w:val="000000"/>
        </w:rPr>
      </w:pPr>
      <w:r>
        <w:rPr>
          <w:b/>
          <w:color w:val="000000"/>
        </w:rPr>
        <w:t xml:space="preserve">Komisja Rewizyjna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29. </w:t>
      </w:r>
      <w:r>
        <w:t xml:space="preserve">1. </w:t>
      </w:r>
      <w:r>
        <w:rPr>
          <w:color w:val="000000"/>
        </w:rPr>
        <w:t xml:space="preserve"> Komisja Rewizyjna powołana jest do sprawowania kontroli nad działalnością Stowarzyszenia.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Komisja Rewizyjna składa się z 3 osób, w tym Przewodniczącego wybieranego na pierwszym posiedzeniu Komisji.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3. </w:t>
      </w:r>
      <w:r>
        <w:rPr>
          <w:color w:val="000000"/>
        </w:rPr>
        <w:t xml:space="preserve">Posiedzenia Komisji Rewizyjnej odbywają się w miarę potrzeb nie rzadziej jednak niż raz w roku. Posiedzenia Komisji zwołuje Przewodniczący.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4. </w:t>
      </w:r>
      <w:r>
        <w:rPr>
          <w:color w:val="000000"/>
        </w:rPr>
        <w:t xml:space="preserve">Członkowie Komisji Rewizyjnej nie mogą być członkami Zarządu ani pozostawać z nimi w stosunku pokrewieństwa, powinowactwa lub podległości z tytułu zatrudnienia.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5. </w:t>
      </w:r>
      <w:r>
        <w:rPr>
          <w:color w:val="000000"/>
        </w:rPr>
        <w:t xml:space="preserve">Członkami Komisji Rewizyjnej nie mogą być osoby skazane prawomocnym wyrokiem za przestępstwo popełnione z winy umyślnej.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30. </w:t>
      </w:r>
      <w:r>
        <w:t xml:space="preserve">1. </w:t>
      </w:r>
      <w:r>
        <w:rPr>
          <w:color w:val="000000"/>
        </w:rPr>
        <w:t xml:space="preserve"> Do kompetencji Komisji Rewizyjnej należy: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a) </w:t>
      </w:r>
      <w:r>
        <w:rPr>
          <w:color w:val="000000"/>
        </w:rPr>
        <w:t xml:space="preserve">kontrola całokształtu działalności Stowarzyszenia,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b) </w:t>
      </w:r>
      <w:r>
        <w:rPr>
          <w:color w:val="000000"/>
        </w:rPr>
        <w:t xml:space="preserve">ocena pracy Zarządu, w tym corocznych sprawozdań i bilansu,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c) </w:t>
      </w:r>
      <w:r>
        <w:rPr>
          <w:color w:val="000000"/>
        </w:rPr>
        <w:t xml:space="preserve">składanie sprawozdań na Walnym Zebraniu Członków wraz z oceną działalności Stowarzyszenia i Zarządu Stowarzyszenia,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d) </w:t>
      </w:r>
      <w:r>
        <w:rPr>
          <w:color w:val="000000"/>
        </w:rPr>
        <w:t xml:space="preserve">wnioskowanie do Walnego Zebrania Członków o udzielanie absolutorium Zarządowi,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e) </w:t>
      </w:r>
      <w:r>
        <w:rPr>
          <w:color w:val="000000"/>
        </w:rPr>
        <w:t xml:space="preserve">wnioskowanie o odwołanie Zarządu lub poszczególnych członków Zarządu w razie jego bezczynności,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f) </w:t>
      </w:r>
      <w:r>
        <w:rPr>
          <w:color w:val="000000"/>
        </w:rPr>
        <w:t xml:space="preserve">wnioskowanie o zwołanie Nadzwyczajnego Walnego Zebrania Członków,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g) </w:t>
      </w:r>
      <w:r>
        <w:rPr>
          <w:color w:val="000000"/>
        </w:rPr>
        <w:t xml:space="preserve">przedstawienie Zarządowi protokołów pokontrolnych wraz z wnioskami,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h) </w:t>
      </w:r>
      <w:r>
        <w:rPr>
          <w:color w:val="000000"/>
        </w:rPr>
        <w:t xml:space="preserve">kontrolowanie regularnego opłacania składek członkowskich.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(skreślony)</w:t>
      </w:r>
      <w:r/>
    </w:p>
    <w:p>
      <w:pPr>
        <w:jc w:val="center"/>
        <w:keepLines/>
        <w:keepNext/>
        <w:rPr>
          <w:color w:val="000000"/>
        </w:rPr>
      </w:pPr>
      <w:r>
        <w:rPr>
          <w:b/>
        </w:rPr>
        <w:t xml:space="preserve">Rozdział 5.</w:t>
      </w:r>
      <w:r>
        <w:rPr>
          <w:color w:val="000000"/>
        </w:rPr>
        <w:br/>
      </w:r>
      <w:r>
        <w:rPr>
          <w:b/>
          <w:color w:val="000000"/>
        </w:rPr>
        <w:t xml:space="preserve">MAJATEK I FUNDUSZE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31. </w:t>
      </w:r>
      <w:r>
        <w:t xml:space="preserve">1. </w:t>
      </w:r>
      <w:r>
        <w:rPr>
          <w:color w:val="000000"/>
        </w:rPr>
        <w:t xml:space="preserve">Źródłami powstania majątku Stowarzyszenia są: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a) </w:t>
      </w:r>
      <w:r>
        <w:rPr>
          <w:color w:val="000000"/>
        </w:rPr>
        <w:t xml:space="preserve">składki członkowskie,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b) </w:t>
      </w:r>
      <w:r>
        <w:rPr>
          <w:color w:val="000000"/>
        </w:rPr>
        <w:t xml:space="preserve">darowizny, zapisy i spadki, środki pochodzące z ofiarności publicznej, ze sponsoringu,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c) </w:t>
      </w:r>
      <w:r>
        <w:rPr>
          <w:color w:val="000000"/>
        </w:rPr>
        <w:t xml:space="preserve">dotacje, subwencje, udziały, lokaty</w:t>
      </w:r>
      <w:r>
        <w:rPr>
          <w:color w:val="000000"/>
        </w:rPr>
        <w:t xml:space="preserve">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d) </w:t>
      </w:r>
      <w:r>
        <w:rPr>
          <w:color w:val="000000"/>
        </w:rPr>
        <w:t xml:space="preserve">dochody z majątku Stowarzyszenia,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e) </w:t>
      </w:r>
      <w:r>
        <w:rPr>
          <w:color w:val="000000"/>
        </w:rPr>
        <w:t xml:space="preserve">dochody z działalności gospodarczej.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Stowarzyszenie prowadzi gospodarkę finansową zgodnie z obowiązującymi przepisami prawa.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3. </w:t>
      </w:r>
      <w:r>
        <w:rPr>
          <w:color w:val="000000"/>
        </w:rPr>
        <w:t xml:space="preserve">Decyzje w sprawie nabywania, zbywania i obciążania majątku Stowarzyszenia podejmuje Zarząd.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32. </w:t>
      </w:r>
      <w:r>
        <w:t xml:space="preserve">1. </w:t>
      </w:r>
      <w:r>
        <w:rPr>
          <w:color w:val="000000"/>
        </w:rPr>
        <w:t xml:space="preserve"> Zabrania się: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a) </w:t>
      </w:r>
      <w:r>
        <w:rPr>
          <w:color w:val="000000"/>
        </w:rPr>
        <w:t xml:space="preserve">udzielania pożyczek lub zabezpieczania zobowiązań majątkiem Stowarzyszenia w stosunku do jej członków lub jego pracowników oraz osób, z którymi pracownicy p</w:t>
      </w:r>
      <w:r>
        <w:rPr>
          <w:color w:val="000000"/>
        </w:rPr>
        <w:t xml:space="preserve">ozostają w związku małżeńskim albo w stosunku pokrewieństwa lub powinowactwa w linii prostej, pokrewieństwa lub powinowactwa w linii bocznej do drugiego stopnia albo są związani z tytułu przysposobienia, opieki lub kurateli, zwanych dalej osobami bliskimi,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b) </w:t>
      </w:r>
      <w:r>
        <w:rPr>
          <w:color w:val="000000"/>
        </w:rPr>
        <w:t xml:space="preserve">przekazywania majątku Stowarzyszenia na rzecz jego członków lub pracowników oraz ich osób bliskich, na zasadach innych niż w stosunku do osób trzecich, w szczególności jeżeli przekazanie to następuje bezpłatnie lub na preferowanych warunkach,</w:t>
      </w:r>
      <w:r/>
    </w:p>
    <w:p>
      <w:pPr>
        <w:ind w:left="227" w:hanging="227"/>
        <w:keepLines/>
        <w:spacing w:after="120" w:before="120"/>
        <w:rPr>
          <w:color w:val="000000"/>
        </w:rPr>
      </w:pPr>
      <w:r>
        <w:t xml:space="preserve">c) </w:t>
      </w:r>
      <w:r>
        <w:rPr>
          <w:color w:val="000000"/>
        </w:rPr>
        <w:t xml:space="preserve">wykorzystywania majątku na rzecz członków lub pracowników Stowarzyszenia oraz ich osób bliskich na zasadach innych niż w stosunku do osób trzecich,</w:t>
      </w:r>
      <w:r/>
    </w:p>
    <w:p>
      <w:pPr>
        <w:ind w:left="227" w:hanging="227"/>
        <w:keepLines/>
        <w:spacing w:after="120"/>
        <w:rPr>
          <w:color w:val="000000"/>
        </w:rPr>
      </w:pPr>
      <w:r>
        <w:t xml:space="preserve">d) </w:t>
      </w:r>
      <w:r>
        <w:rPr>
          <w:color w:val="000000"/>
        </w:rPr>
        <w:t xml:space="preserve">zakupu na szczególnych zasadach towarów lub usług od podmiotów, w których uczestniczą członkowie Stowarzyszenia lub jego pracownicy oraz ich osób bliskich.</w:t>
      </w:r>
      <w:r/>
    </w:p>
    <w:p>
      <w:pPr>
        <w:jc w:val="center"/>
        <w:spacing w:after="120"/>
        <w:rPr>
          <w:b/>
          <w:color w:val="000000"/>
        </w:rPr>
      </w:pPr>
      <w:r>
        <w:rPr>
          <w:b/>
          <w:color w:val="000000"/>
        </w:rPr>
        <w:t xml:space="preserve">Sposób reprezentacji</w:t>
      </w:r>
      <w:r/>
    </w:p>
    <w:p>
      <w:pPr>
        <w:ind w:firstLine="340"/>
        <w:keepLines/>
        <w:spacing w:after="120"/>
        <w:rPr>
          <w:color w:val="000000"/>
        </w:rPr>
      </w:pPr>
      <w:r>
        <w:rPr>
          <w:b/>
        </w:rPr>
        <w:t xml:space="preserve">§ 33. </w:t>
      </w:r>
      <w:bookmarkStart w:id="0" w:name="_GoBack"/>
      <w:r>
        <w:rPr>
          <w:color w:val="000000"/>
        </w:rPr>
        <w:t xml:space="preserve">Do składania oświadczeń w imieniu Stowarzyszenia, reprezentowania go na zewnątrz oraz zaciągania zobowiązań majątkowych wymagane jest współdziałanie dwóch członków Zarządu.</w:t>
      </w:r>
      <w:bookmarkEnd w:id="0"/>
      <w:r/>
    </w:p>
    <w:p>
      <w:pPr>
        <w:jc w:val="center"/>
        <w:keepLines/>
        <w:keepNext/>
        <w:spacing w:after="120"/>
        <w:rPr>
          <w:color w:val="000000"/>
        </w:rPr>
      </w:pPr>
      <w:r>
        <w:rPr>
          <w:b/>
        </w:rPr>
        <w:t xml:space="preserve">Rozdział 6.</w:t>
      </w:r>
      <w:r>
        <w:rPr>
          <w:color w:val="000000"/>
        </w:rPr>
        <w:br/>
      </w:r>
      <w:r>
        <w:rPr>
          <w:b/>
          <w:color w:val="000000"/>
        </w:rPr>
        <w:t xml:space="preserve">PRZEPISY KOŃCOWE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34. </w:t>
      </w:r>
      <w:r>
        <w:rPr>
          <w:color w:val="000000"/>
        </w:rPr>
        <w:t xml:space="preserve">Uchwałę w sprawie zmiany statutu Stowarzyszenia podejmuje Walne Zebranie Członków bezwzględną większością głosów, w obecności przynajmniej połowy członków uprawnionych do głosowania.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35. </w:t>
      </w:r>
      <w:r>
        <w:t xml:space="preserve">1. </w:t>
      </w:r>
      <w:r>
        <w:rPr>
          <w:color w:val="000000"/>
        </w:rPr>
        <w:t xml:space="preserve"> Uchwałę o rozwiązaniu Stowarzyszenia podejmuje Walne Zebranie Członków kwalifikowaną większością 2/3 głosów przy obecności co najmniej połowy członków uprawnionych do głosowania.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t xml:space="preserve">2. </w:t>
      </w:r>
      <w:r>
        <w:rPr>
          <w:color w:val="000000"/>
        </w:rPr>
        <w:t xml:space="preserve">Podejmując uchwałę o rozwiązaniu Stowarzyszenia Walne Zebranie Członków określa sposób jego likwidacji i przeznaczeniu majątku Stowarzyszenia.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36. </w:t>
      </w:r>
      <w:r>
        <w:rPr>
          <w:color w:val="000000"/>
        </w:rPr>
        <w:t xml:space="preserve">(skreślony)</w:t>
      </w:r>
      <w:r/>
    </w:p>
    <w:p>
      <w:pPr>
        <w:ind w:firstLine="340"/>
        <w:keepLines/>
        <w:spacing w:after="120" w:before="120"/>
        <w:rPr>
          <w:color w:val="000000"/>
        </w:rPr>
      </w:pPr>
      <w:r>
        <w:rPr>
          <w:b/>
        </w:rPr>
        <w:t xml:space="preserve">§ 37. </w:t>
      </w:r>
      <w:r>
        <w:rPr>
          <w:color w:val="000000"/>
        </w:rPr>
        <w:t xml:space="preserve">W sprawach nieuregulowanych Statutem mają zastosowanie przepisy ustawy z dnia 7 kwietnia 1989 r. - Prawo o stowarzyszeniach (Dz. U. z 2019 r. poz. 713 oraz z 2020 r. poz. 695).</w:t>
      </w:r>
      <w:r/>
    </w:p>
    <w:tbl>
      <w:tblPr>
        <w:tblStyle w:val="706"/>
        <w:tblW w:w="0" w:type="auto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932"/>
        <w:gridCol w:w="4934"/>
      </w:tblGrid>
      <w:tr>
        <w:trPr/>
        <w:tc>
          <w:tcPr>
            <w:tcW w:w="5003" w:type="dxa"/>
            <w:textDirection w:val="lrTb"/>
            <w:noWrap w:val="false"/>
          </w:tcPr>
          <w:p>
            <w:pPr>
              <w:jc w:val="center"/>
              <w:keepLines/>
              <w:spacing w:after="120" w:before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Prezes Zarządu</w:t>
            </w:r>
            <w:r/>
          </w:p>
        </w:tc>
        <w:tc>
          <w:tcPr>
            <w:tcW w:w="5003" w:type="dxa"/>
            <w:textDirection w:val="lrTb"/>
            <w:noWrap w:val="false"/>
          </w:tcPr>
          <w:p>
            <w:pPr>
              <w:jc w:val="center"/>
              <w:keepLines/>
              <w:spacing w:after="120" w:before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Wiceprezes Zarządu</w:t>
            </w:r>
            <w:r/>
          </w:p>
        </w:tc>
      </w:tr>
      <w:tr>
        <w:trPr/>
        <w:tc>
          <w:tcPr>
            <w:tcW w:w="5003" w:type="dxa"/>
            <w:textDirection w:val="lrTb"/>
            <w:noWrap w:val="false"/>
          </w:tcPr>
          <w:p>
            <w:pPr>
              <w:jc w:val="center"/>
              <w:keepLines/>
              <w:spacing w:after="120" w:before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Marek Kasprzyk</w:t>
            </w:r>
            <w:r/>
          </w:p>
        </w:tc>
        <w:tc>
          <w:tcPr>
            <w:tcW w:w="5003" w:type="dxa"/>
            <w:textDirection w:val="lrTb"/>
            <w:noWrap w:val="false"/>
          </w:tcPr>
          <w:p>
            <w:pPr>
              <w:jc w:val="center"/>
              <w:keepLines/>
              <w:spacing w:after="120" w:before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Agnieszka Grad</w:t>
            </w:r>
            <w:r/>
          </w:p>
        </w:tc>
      </w:tr>
    </w:tbl>
    <w:p>
      <w:pPr>
        <w:keepLines/>
        <w:spacing w:after="120" w:before="120"/>
        <w:rPr>
          <w:color w:val="000000"/>
        </w:rPr>
      </w:pPr>
      <w:r>
        <w:rPr>
          <w:color w:val="000000"/>
        </w:rPr>
      </w:r>
      <w:r/>
    </w:p>
    <w:sectPr>
      <w:footerReference w:type="default" r:id="rId9"/>
      <w:footnotePr/>
      <w:endnotePr>
        <w:numFmt w:val="decimal"/>
      </w:endnotePr>
      <w:type w:val="nextPage"/>
      <w:pgSz w:w="11906" w:h="16838" w:orient="portrait"/>
      <w:pgMar w:top="1417" w:right="1020" w:bottom="992" w:left="1020" w:header="708" w:footer="708" w:gutter="0"/>
      <w:pgNumType w:start="1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8"/>
      <w:rPr>
        <w:color w:val="000000"/>
        <w:sz w:val="20"/>
        <w:szCs w:val="20"/>
      </w:rPr>
    </w:pPr>
    <w:r/>
    <w:sdt>
      <w:sdtPr>
        <w:alias w:val="Autor"/>
        <w15:appearance w15:val="boundingBox"/>
        <w:id w:val="54214575"/>
        <w:placeholder>
          <w:docPart w:val="269F44C392444E95B962054527E2F8B6"/>
        </w:placeholder>
        <w:rPr>
          <w:color w:val="000000" w:themeColor="text1"/>
          <w:sz w:val="20"/>
          <w:szCs w:val="20"/>
        </w:rPr>
      </w:sdtPr>
      <w:sdtContent>
        <w:r>
          <w:rPr>
            <w:color w:val="000000" w:themeColor="text1"/>
            <w:sz w:val="20"/>
            <w:szCs w:val="20"/>
          </w:rPr>
          <w:t xml:space="preserve">Statut Stowarzyszenia Trampolina (obecna nazwa Stowarzyszenie Bartosz)- tekst jednolity 5 czerwca 2020 r.</w:t>
        </w:r>
      </w:sdtContent>
    </w:sdt>
    <w:r/>
    <w:r/>
  </w:p>
  <w:p>
    <w:pPr>
      <w:rPr>
        <w:sz w:val="10"/>
      </w:rPr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Pole tekstowe 56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508759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98"/>
                            <w:jc w:val="right"/>
                            <w:rPr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instrText xml:space="preserve">PAGE  \* Arabic  \* MERGEFORMAT</w:instrTex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9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/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0" o:spid="_x0000_s0" o:spt="1" style="position:absolute;mso-wrap-distance-left:9.0pt;mso-wrap-distance-top:0.0pt;mso-wrap-distance-right:9.0pt;mso-wrap-distance-bottom:0.0pt;z-index:251659264;o:allowoverlap:true;o:allowincell:true;mso-position-horizontal-relative:margin;mso-position-horizontal:right;mso-position-vertical-relative:bottom-margin-area;mso-position-vertical:top;width:118.8pt;height:31.1pt;v-text-anchor:top;" coordsize="100000,100000" path="" filled="f" stroked="f" strokeweight="0.50pt">
              <v:path textboxrect="0,0,0,0"/>
              <v:textbox>
                <w:txbxContent>
                  <w:p>
                    <w:pPr>
                      <w:pStyle w:val="698"/>
                      <w:jc w:val="right"/>
                      <w:rPr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color w:val="000000" w:themeColor="text1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instrText xml:space="preserve">PAGE  \* Arabic  \* MERGEFORMAT</w:instrTex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 xml:space="preserve">9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color w:val="4F81BD" w:themeColor="accent1"/>
      </w:rPr>
      <mc:AlternateContent>
        <mc:Choice Requires="wpg">
          <w:drawing>
            <wp:anchor xmlns:wp="http://schemas.openxmlformats.org/drawingml/2006/wordprocessingDrawing" distT="91440" distB="9144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2" name="Prostokąt 58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1" o:spid="_x0000_s1" o:spt="1" style="position:absolute;mso-wrap-distance-left:9.0pt;mso-wrap-distance-top:7.2pt;mso-wrap-distance-right:9.0pt;mso-wrap-distance-bottom:7.2pt;z-index:-251660288;o:allowoverlap:true;o:allowincell:true;mso-position-horizontal-relative:margin;mso-position-horizontal:center;mso-position-vertical-relative:bottom-margin-area;mso-position-vertical:top;width:468.0pt;height:2.8pt;" coordsize="100000,100000" path="" fillcolor="#4F81BD" stroked="f" strokeweight="2.00pt">
              <v:path textboxrect="0,0,0,0"/>
              <w10:wrap type="square"/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decimal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l-PL" w:bidi="ar-SA" w:eastAsia="pl-P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92"/>
    <w:next w:val="692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693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92"/>
    <w:next w:val="692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693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92"/>
    <w:next w:val="692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693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92"/>
    <w:next w:val="692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693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92"/>
    <w:next w:val="692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93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92"/>
    <w:next w:val="692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93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92"/>
    <w:next w:val="692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93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92"/>
    <w:next w:val="692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93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92"/>
    <w:next w:val="692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93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92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692"/>
    <w:next w:val="692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93"/>
    <w:link w:val="32"/>
    <w:uiPriority w:val="10"/>
    <w:rPr>
      <w:sz w:val="48"/>
      <w:szCs w:val="48"/>
    </w:rPr>
  </w:style>
  <w:style w:type="paragraph" w:styleId="34">
    <w:name w:val="Subtitle"/>
    <w:basedOn w:val="692"/>
    <w:next w:val="692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93"/>
    <w:link w:val="34"/>
    <w:uiPriority w:val="11"/>
    <w:rPr>
      <w:sz w:val="24"/>
      <w:szCs w:val="24"/>
    </w:rPr>
  </w:style>
  <w:style w:type="character" w:styleId="37">
    <w:name w:val="Quote Char"/>
    <w:link w:val="700"/>
    <w:uiPriority w:val="29"/>
    <w:rPr>
      <w:i/>
    </w:rPr>
  </w:style>
  <w:style w:type="character" w:styleId="39">
    <w:name w:val="Intense Quote Char"/>
    <w:link w:val="702"/>
    <w:uiPriority w:val="30"/>
    <w:rPr>
      <w:i/>
    </w:rPr>
  </w:style>
  <w:style w:type="character" w:styleId="41">
    <w:name w:val="Header Char"/>
    <w:basedOn w:val="693"/>
    <w:link w:val="696"/>
    <w:uiPriority w:val="99"/>
  </w:style>
  <w:style w:type="character" w:styleId="43">
    <w:name w:val="Footer Char"/>
    <w:basedOn w:val="693"/>
    <w:link w:val="698"/>
    <w:uiPriority w:val="99"/>
  </w:style>
  <w:style w:type="paragraph" w:styleId="44">
    <w:name w:val="Caption"/>
    <w:basedOn w:val="692"/>
    <w:next w:val="69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698"/>
    <w:uiPriority w:val="99"/>
  </w:style>
  <w:style w:type="table" w:styleId="47">
    <w:name w:val="Table Grid Light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9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92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93"/>
    <w:uiPriority w:val="99"/>
    <w:unhideWhenUsed/>
    <w:rPr>
      <w:vertAlign w:val="superscript"/>
    </w:rPr>
  </w:style>
  <w:style w:type="paragraph" w:styleId="176">
    <w:name w:val="endnote text"/>
    <w:basedOn w:val="692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93"/>
    <w:uiPriority w:val="99"/>
    <w:semiHidden/>
    <w:unhideWhenUsed/>
    <w:rPr>
      <w:vertAlign w:val="superscript"/>
    </w:rPr>
  </w:style>
  <w:style w:type="paragraph" w:styleId="179">
    <w:name w:val="toc 1"/>
    <w:basedOn w:val="692"/>
    <w:next w:val="692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92"/>
    <w:next w:val="692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92"/>
    <w:next w:val="692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92"/>
    <w:next w:val="692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92"/>
    <w:next w:val="692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92"/>
    <w:next w:val="692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92"/>
    <w:next w:val="692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92"/>
    <w:next w:val="692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92"/>
    <w:next w:val="692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92"/>
    <w:next w:val="692"/>
    <w:uiPriority w:val="99"/>
    <w:unhideWhenUsed/>
    <w:pPr>
      <w:spacing w:after="0" w:afterAutospacing="0"/>
    </w:pPr>
  </w:style>
  <w:style w:type="paragraph" w:styleId="692" w:default="1">
    <w:name w:val="Normal"/>
    <w:qFormat/>
    <w:rPr>
      <w:sz w:val="22"/>
      <w:szCs w:val="24"/>
    </w:rPr>
    <w:pPr>
      <w:jc w:val="both"/>
    </w:pPr>
  </w:style>
  <w:style w:type="character" w:styleId="693" w:default="1">
    <w:name w:val="Default Paragraph Font"/>
    <w:uiPriority w:val="1"/>
    <w:semiHidden/>
    <w:unhideWhenUsed/>
  </w:style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5" w:default="1">
    <w:name w:val="No List"/>
    <w:uiPriority w:val="99"/>
    <w:semiHidden/>
    <w:unhideWhenUsed/>
  </w:style>
  <w:style w:type="paragraph" w:styleId="696">
    <w:name w:val="Header"/>
    <w:basedOn w:val="692"/>
    <w:link w:val="697"/>
    <w:pPr>
      <w:tabs>
        <w:tab w:val="center" w:pos="4536" w:leader="none"/>
        <w:tab w:val="right" w:pos="9072" w:leader="none"/>
      </w:tabs>
    </w:pPr>
  </w:style>
  <w:style w:type="character" w:styleId="697" w:customStyle="1">
    <w:name w:val="Nagłówek Znak"/>
    <w:basedOn w:val="693"/>
    <w:link w:val="696"/>
    <w:rPr>
      <w:sz w:val="22"/>
      <w:szCs w:val="24"/>
    </w:rPr>
  </w:style>
  <w:style w:type="paragraph" w:styleId="698">
    <w:name w:val="Footer"/>
    <w:basedOn w:val="692"/>
    <w:link w:val="699"/>
    <w:uiPriority w:val="99"/>
    <w:pPr>
      <w:tabs>
        <w:tab w:val="center" w:pos="4536" w:leader="none"/>
        <w:tab w:val="right" w:pos="9072" w:leader="none"/>
      </w:tabs>
    </w:pPr>
  </w:style>
  <w:style w:type="character" w:styleId="699" w:customStyle="1">
    <w:name w:val="Stopka Znak"/>
    <w:basedOn w:val="693"/>
    <w:link w:val="698"/>
    <w:uiPriority w:val="99"/>
    <w:rPr>
      <w:sz w:val="22"/>
      <w:szCs w:val="24"/>
    </w:rPr>
  </w:style>
  <w:style w:type="paragraph" w:styleId="700">
    <w:name w:val="Quote"/>
    <w:basedOn w:val="692"/>
    <w:next w:val="692"/>
    <w:link w:val="701"/>
    <w:qFormat/>
    <w:uiPriority w:val="29"/>
    <w:rPr>
      <w:i/>
      <w:iCs/>
      <w:color w:val="000000" w:themeColor="text1"/>
    </w:rPr>
  </w:style>
  <w:style w:type="character" w:styleId="701" w:customStyle="1">
    <w:name w:val="Cytat Znak"/>
    <w:basedOn w:val="693"/>
    <w:link w:val="700"/>
    <w:uiPriority w:val="29"/>
    <w:rPr>
      <w:i/>
      <w:iCs/>
      <w:color w:val="000000" w:themeColor="text1"/>
      <w:sz w:val="22"/>
      <w:szCs w:val="24"/>
    </w:rPr>
  </w:style>
  <w:style w:type="paragraph" w:styleId="702">
    <w:name w:val="Intense Quote"/>
    <w:basedOn w:val="692"/>
    <w:next w:val="692"/>
    <w:link w:val="703"/>
    <w:qFormat/>
    <w:uiPriority w:val="30"/>
    <w:rPr>
      <w:b/>
      <w:bCs/>
      <w:i/>
      <w:iCs/>
      <w:color w:val="4F81BD" w:themeColor="accent1"/>
    </w:rPr>
    <w:pPr>
      <w:ind w:left="936" w:right="936"/>
      <w:spacing w:after="280" w:before="200"/>
      <w:pBdr>
        <w:bottom w:val="single" w:color="4F81BD" w:sz="4" w:space="4" w:themeColor="accent1"/>
      </w:pBdr>
    </w:pPr>
  </w:style>
  <w:style w:type="character" w:styleId="703" w:customStyle="1">
    <w:name w:val="Cytat intensywny Znak"/>
    <w:basedOn w:val="693"/>
    <w:link w:val="702"/>
    <w:uiPriority w:val="30"/>
    <w:rPr>
      <w:b/>
      <w:bCs/>
      <w:i/>
      <w:iCs/>
      <w:color w:val="4F81BD" w:themeColor="accent1"/>
      <w:sz w:val="22"/>
      <w:szCs w:val="24"/>
    </w:rPr>
  </w:style>
  <w:style w:type="paragraph" w:styleId="704">
    <w:name w:val="Balloon Text"/>
    <w:basedOn w:val="692"/>
    <w:link w:val="705"/>
    <w:rPr>
      <w:rFonts w:ascii="Tahoma" w:hAnsi="Tahoma" w:cs="Tahoma"/>
      <w:sz w:val="16"/>
      <w:szCs w:val="16"/>
    </w:rPr>
  </w:style>
  <w:style w:type="character" w:styleId="705" w:customStyle="1">
    <w:name w:val="Tekst dymka Znak"/>
    <w:basedOn w:val="693"/>
    <w:link w:val="704"/>
    <w:rPr>
      <w:rFonts w:ascii="Tahoma" w:hAnsi="Tahoma" w:cs="Tahoma"/>
      <w:sz w:val="16"/>
      <w:szCs w:val="16"/>
    </w:rPr>
  </w:style>
  <w:style w:type="table" w:styleId="706">
    <w:name w:val="Table Grid"/>
    <w:basedOn w:val="694"/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269F44C392444E95B962054527E2F8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D51657-ADD0-47DF-A589-F004D0FAF74C}"/>
      </w:docPartPr>
      <w:docPartBody>
        <w:p>
          <w:pPr>
            <w:pStyle w:val="1123"/>
          </w:pPr>
          <w:r>
            <w:t xml:space="preserve">[Wpisz imię i nazwisko autora]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glossary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pl-PL" w:bidi="ar-SA" w:eastAsia="pl-PL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0">
    <w:name w:val="Heading 1"/>
    <w:basedOn w:val="1119"/>
    <w:next w:val="1119"/>
    <w:link w:val="23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231">
    <w:name w:val="Heading 1 Char"/>
    <w:basedOn w:val="1120"/>
    <w:link w:val="230"/>
    <w:uiPriority w:val="9"/>
    <w:rPr>
      <w:rFonts w:ascii="Arial" w:hAnsi="Arial" w:cs="Arial" w:eastAsia="Arial"/>
      <w:sz w:val="40"/>
      <w:szCs w:val="40"/>
    </w:rPr>
  </w:style>
  <w:style w:type="paragraph" w:styleId="232">
    <w:name w:val="Heading 2"/>
    <w:basedOn w:val="1119"/>
    <w:next w:val="1119"/>
    <w:link w:val="23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233">
    <w:name w:val="Heading 2 Char"/>
    <w:basedOn w:val="1120"/>
    <w:link w:val="232"/>
    <w:uiPriority w:val="9"/>
    <w:rPr>
      <w:rFonts w:ascii="Arial" w:hAnsi="Arial" w:cs="Arial" w:eastAsia="Arial"/>
      <w:sz w:val="34"/>
    </w:rPr>
  </w:style>
  <w:style w:type="paragraph" w:styleId="234">
    <w:name w:val="Heading 3"/>
    <w:basedOn w:val="1119"/>
    <w:next w:val="1119"/>
    <w:link w:val="23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235">
    <w:name w:val="Heading 3 Char"/>
    <w:basedOn w:val="1120"/>
    <w:link w:val="234"/>
    <w:uiPriority w:val="9"/>
    <w:rPr>
      <w:rFonts w:ascii="Arial" w:hAnsi="Arial" w:cs="Arial" w:eastAsia="Arial"/>
      <w:sz w:val="30"/>
      <w:szCs w:val="30"/>
    </w:rPr>
  </w:style>
  <w:style w:type="paragraph" w:styleId="236">
    <w:name w:val="Heading 4"/>
    <w:basedOn w:val="1119"/>
    <w:next w:val="1119"/>
    <w:link w:val="23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237">
    <w:name w:val="Heading 4 Char"/>
    <w:basedOn w:val="1120"/>
    <w:link w:val="236"/>
    <w:uiPriority w:val="9"/>
    <w:rPr>
      <w:rFonts w:ascii="Arial" w:hAnsi="Arial" w:cs="Arial" w:eastAsia="Arial"/>
      <w:b/>
      <w:bCs/>
      <w:sz w:val="26"/>
      <w:szCs w:val="26"/>
    </w:rPr>
  </w:style>
  <w:style w:type="paragraph" w:styleId="238">
    <w:name w:val="Heading 5"/>
    <w:basedOn w:val="1119"/>
    <w:next w:val="1119"/>
    <w:link w:val="23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39">
    <w:name w:val="Heading 5 Char"/>
    <w:basedOn w:val="1120"/>
    <w:link w:val="238"/>
    <w:uiPriority w:val="9"/>
    <w:rPr>
      <w:rFonts w:ascii="Arial" w:hAnsi="Arial" w:cs="Arial" w:eastAsia="Arial"/>
      <w:b/>
      <w:bCs/>
      <w:sz w:val="24"/>
      <w:szCs w:val="24"/>
    </w:rPr>
  </w:style>
  <w:style w:type="paragraph" w:styleId="240">
    <w:name w:val="Heading 6"/>
    <w:basedOn w:val="1119"/>
    <w:next w:val="1119"/>
    <w:link w:val="24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41">
    <w:name w:val="Heading 6 Char"/>
    <w:basedOn w:val="1120"/>
    <w:link w:val="240"/>
    <w:uiPriority w:val="9"/>
    <w:rPr>
      <w:rFonts w:ascii="Arial" w:hAnsi="Arial" w:cs="Arial" w:eastAsia="Arial"/>
      <w:b/>
      <w:bCs/>
      <w:sz w:val="22"/>
      <w:szCs w:val="22"/>
    </w:rPr>
  </w:style>
  <w:style w:type="paragraph" w:styleId="242">
    <w:name w:val="Heading 7"/>
    <w:basedOn w:val="1119"/>
    <w:next w:val="1119"/>
    <w:link w:val="24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3">
    <w:name w:val="Heading 7 Char"/>
    <w:basedOn w:val="1120"/>
    <w:link w:val="24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44">
    <w:name w:val="Heading 8"/>
    <w:basedOn w:val="1119"/>
    <w:next w:val="1119"/>
    <w:link w:val="24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45">
    <w:name w:val="Heading 8 Char"/>
    <w:basedOn w:val="1120"/>
    <w:link w:val="244"/>
    <w:uiPriority w:val="9"/>
    <w:rPr>
      <w:rFonts w:ascii="Arial" w:hAnsi="Arial" w:cs="Arial" w:eastAsia="Arial"/>
      <w:i/>
      <w:iCs/>
      <w:sz w:val="22"/>
      <w:szCs w:val="22"/>
    </w:rPr>
  </w:style>
  <w:style w:type="paragraph" w:styleId="246">
    <w:name w:val="Heading 9"/>
    <w:basedOn w:val="1119"/>
    <w:next w:val="1119"/>
    <w:link w:val="24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47">
    <w:name w:val="Heading 9 Char"/>
    <w:basedOn w:val="1120"/>
    <w:link w:val="246"/>
    <w:uiPriority w:val="9"/>
    <w:rPr>
      <w:rFonts w:ascii="Arial" w:hAnsi="Arial" w:cs="Arial" w:eastAsia="Arial"/>
      <w:i/>
      <w:iCs/>
      <w:sz w:val="21"/>
      <w:szCs w:val="21"/>
    </w:rPr>
  </w:style>
  <w:style w:type="paragraph" w:styleId="248">
    <w:name w:val="List Paragraph"/>
    <w:basedOn w:val="1119"/>
    <w:qFormat/>
    <w:uiPriority w:val="34"/>
    <w:pPr>
      <w:contextualSpacing w:val="true"/>
      <w:ind w:left="720"/>
    </w:pPr>
  </w:style>
  <w:style w:type="paragraph" w:styleId="250">
    <w:name w:val="No Spacing"/>
    <w:qFormat/>
    <w:uiPriority w:val="1"/>
    <w:pPr>
      <w:spacing w:lineRule="auto" w:line="240" w:after="0" w:before="0"/>
    </w:pPr>
  </w:style>
  <w:style w:type="paragraph" w:styleId="251">
    <w:name w:val="Title"/>
    <w:basedOn w:val="1119"/>
    <w:next w:val="1119"/>
    <w:link w:val="25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252">
    <w:name w:val="Title Char"/>
    <w:basedOn w:val="1120"/>
    <w:link w:val="251"/>
    <w:uiPriority w:val="10"/>
    <w:rPr>
      <w:sz w:val="48"/>
      <w:szCs w:val="48"/>
    </w:rPr>
  </w:style>
  <w:style w:type="paragraph" w:styleId="253">
    <w:name w:val="Subtitle"/>
    <w:basedOn w:val="1119"/>
    <w:next w:val="1119"/>
    <w:link w:val="254"/>
    <w:qFormat/>
    <w:uiPriority w:val="11"/>
    <w:rPr>
      <w:sz w:val="24"/>
      <w:szCs w:val="24"/>
    </w:rPr>
    <w:pPr>
      <w:spacing w:after="200" w:before="200"/>
    </w:pPr>
  </w:style>
  <w:style w:type="character" w:styleId="254">
    <w:name w:val="Subtitle Char"/>
    <w:basedOn w:val="1120"/>
    <w:link w:val="253"/>
    <w:uiPriority w:val="11"/>
    <w:rPr>
      <w:sz w:val="24"/>
      <w:szCs w:val="24"/>
    </w:rPr>
  </w:style>
  <w:style w:type="paragraph" w:styleId="255">
    <w:name w:val="Quote"/>
    <w:basedOn w:val="1119"/>
    <w:next w:val="1119"/>
    <w:link w:val="256"/>
    <w:qFormat/>
    <w:uiPriority w:val="29"/>
    <w:rPr>
      <w:i/>
    </w:rPr>
    <w:pPr>
      <w:ind w:left="720" w:right="720"/>
    </w:pPr>
  </w:style>
  <w:style w:type="character" w:styleId="256">
    <w:name w:val="Quote Char"/>
    <w:link w:val="255"/>
    <w:uiPriority w:val="29"/>
    <w:rPr>
      <w:i/>
    </w:rPr>
  </w:style>
  <w:style w:type="paragraph" w:styleId="257">
    <w:name w:val="Intense Quote"/>
    <w:basedOn w:val="1119"/>
    <w:next w:val="1119"/>
    <w:link w:val="258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58">
    <w:name w:val="Intense Quote Char"/>
    <w:link w:val="257"/>
    <w:uiPriority w:val="30"/>
    <w:rPr>
      <w:i/>
    </w:rPr>
  </w:style>
  <w:style w:type="paragraph" w:styleId="259">
    <w:name w:val="Header"/>
    <w:basedOn w:val="1119"/>
    <w:link w:val="26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60">
    <w:name w:val="Header Char"/>
    <w:basedOn w:val="1120"/>
    <w:link w:val="259"/>
    <w:uiPriority w:val="99"/>
  </w:style>
  <w:style w:type="paragraph" w:styleId="261">
    <w:name w:val="Footer"/>
    <w:basedOn w:val="1119"/>
    <w:link w:val="26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62">
    <w:name w:val="Footer Char"/>
    <w:basedOn w:val="1120"/>
    <w:link w:val="261"/>
    <w:uiPriority w:val="99"/>
  </w:style>
  <w:style w:type="paragraph" w:styleId="263">
    <w:name w:val="Caption"/>
    <w:basedOn w:val="1119"/>
    <w:next w:val="1119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264">
    <w:name w:val="Caption Char"/>
    <w:basedOn w:val="263"/>
    <w:link w:val="261"/>
    <w:uiPriority w:val="99"/>
  </w:style>
  <w:style w:type="table" w:styleId="265">
    <w:name w:val="Table Grid"/>
    <w:basedOn w:val="1121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66">
    <w:name w:val="Table Grid Light"/>
    <w:basedOn w:val="112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67">
    <w:name w:val="Plain Table 1"/>
    <w:basedOn w:val="112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68">
    <w:name w:val="Plain Table 2"/>
    <w:basedOn w:val="1121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69">
    <w:name w:val="Plain Table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270">
    <w:name w:val="Plain Table 4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1">
    <w:name w:val="Plain Table 5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272">
    <w:name w:val="Grid Table 1 Light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3">
    <w:name w:val="Grid Table 1 Light - Accent 1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4">
    <w:name w:val="Grid Table 1 Light - Accent 2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5">
    <w:name w:val="Grid Table 1 Light - Accent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6">
    <w:name w:val="Grid Table 1 Light - Accent 4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7">
    <w:name w:val="Grid Table 1 Light - Accent 5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8">
    <w:name w:val="Grid Table 1 Light - Accent 6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9">
    <w:name w:val="Grid Table 2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280">
    <w:name w:val="Grid Table 2 - Accent 1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281">
    <w:name w:val="Grid Table 2 - Accent 2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282">
    <w:name w:val="Grid Table 2 - Accent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283">
    <w:name w:val="Grid Table 2 - Accent 4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284">
    <w:name w:val="Grid Table 2 - Accent 5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285">
    <w:name w:val="Grid Table 2 - Accent 6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286">
    <w:name w:val="Grid Table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87">
    <w:name w:val="Grid Table 3 - Accent 1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88">
    <w:name w:val="Grid Table 3 - Accent 2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89">
    <w:name w:val="Grid Table 3 - Accent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90">
    <w:name w:val="Grid Table 3 - Accent 4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91">
    <w:name w:val="Grid Table 3 - Accent 5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92">
    <w:name w:val="Grid Table 3 - Accent 6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93">
    <w:name w:val="Grid Table 4"/>
    <w:basedOn w:val="11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294">
    <w:name w:val="Grid Table 4 - Accent 1"/>
    <w:basedOn w:val="11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295">
    <w:name w:val="Grid Table 4 - Accent 2"/>
    <w:basedOn w:val="11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296">
    <w:name w:val="Grid Table 4 - Accent 3"/>
    <w:basedOn w:val="11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297">
    <w:name w:val="Grid Table 4 - Accent 4"/>
    <w:basedOn w:val="11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298">
    <w:name w:val="Grid Table 4 - Accent 5"/>
    <w:basedOn w:val="11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299">
    <w:name w:val="Grid Table 4 - Accent 6"/>
    <w:basedOn w:val="11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300">
    <w:name w:val="Grid Table 5 Dark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301">
    <w:name w:val="Grid Table 5 Dark- Accent 1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302">
    <w:name w:val="Grid Table 5 Dark - Accent 2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303">
    <w:name w:val="Grid Table 5 Dark - Accent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304">
    <w:name w:val="Grid Table 5 Dark- Accent 4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305">
    <w:name w:val="Grid Table 5 Dark - Accent 5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306">
    <w:name w:val="Grid Table 5 Dark - Accent 6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307">
    <w:name w:val="Grid Table 6 Colorful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308">
    <w:name w:val="Grid Table 6 Colorful - Accent 1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309">
    <w:name w:val="Grid Table 6 Colorful - Accent 2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310">
    <w:name w:val="Grid Table 6 Colorful - Accent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311">
    <w:name w:val="Grid Table 6 Colorful - Accent 4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312">
    <w:name w:val="Grid Table 6 Colorful - Accent 5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13">
    <w:name w:val="Grid Table 6 Colorful - Accent 6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14">
    <w:name w:val="Grid Table 7 Colorful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315">
    <w:name w:val="Grid Table 7 Colorful - Accent 1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316">
    <w:name w:val="Grid Table 7 Colorful - Accent 2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317">
    <w:name w:val="Grid Table 7 Colorful - Accent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318">
    <w:name w:val="Grid Table 7 Colorful - Accent 4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319">
    <w:name w:val="Grid Table 7 Colorful - Accent 5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320">
    <w:name w:val="Grid Table 7 Colorful - Accent 6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321">
    <w:name w:val="List Table 1 Light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322">
    <w:name w:val="List Table 1 Light - Accent 1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323">
    <w:name w:val="List Table 1 Light - Accent 2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324">
    <w:name w:val="List Table 1 Light - Accent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325">
    <w:name w:val="List Table 1 Light - Accent 4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326">
    <w:name w:val="List Table 1 Light - Accent 5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327">
    <w:name w:val="List Table 1 Light - Accent 6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328">
    <w:name w:val="List Table 2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329">
    <w:name w:val="List Table 2 - Accent 1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330">
    <w:name w:val="List Table 2 - Accent 2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331">
    <w:name w:val="List Table 2 - Accent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332">
    <w:name w:val="List Table 2 - Accent 4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333">
    <w:name w:val="List Table 2 - Accent 5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334">
    <w:name w:val="List Table 2 - Accent 6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335">
    <w:name w:val="List Table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36">
    <w:name w:val="List Table 3 - Accent 1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37">
    <w:name w:val="List Table 3 - Accent 2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38">
    <w:name w:val="List Table 3 - Accent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39">
    <w:name w:val="List Table 3 - Accent 4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0">
    <w:name w:val="List Table 3 - Accent 5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1">
    <w:name w:val="List Table 3 - Accent 6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2">
    <w:name w:val="List Table 4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3">
    <w:name w:val="List Table 4 - Accent 1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4">
    <w:name w:val="List Table 4 - Accent 2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5">
    <w:name w:val="List Table 4 - Accent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6">
    <w:name w:val="List Table 4 - Accent 4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7">
    <w:name w:val="List Table 4 - Accent 5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8">
    <w:name w:val="List Table 4 - Accent 6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9">
    <w:name w:val="List Table 5 Dark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0">
    <w:name w:val="List Table 5 Dark - Accent 1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1">
    <w:name w:val="List Table 5 Dark - Accent 2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2">
    <w:name w:val="List Table 5 Dark - Accent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3">
    <w:name w:val="List Table 5 Dark - Accent 4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4">
    <w:name w:val="List Table 5 Dark - Accent 5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5">
    <w:name w:val="List Table 5 Dark - Accent 6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6">
    <w:name w:val="List Table 6 Colorful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357">
    <w:name w:val="List Table 6 Colorful - Accent 1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358">
    <w:name w:val="List Table 6 Colorful - Accent 2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359">
    <w:name w:val="List Table 6 Colorful - Accent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360">
    <w:name w:val="List Table 6 Colorful - Accent 4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361">
    <w:name w:val="List Table 6 Colorful - Accent 5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362">
    <w:name w:val="List Table 6 Colorful - Accent 6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363">
    <w:name w:val="List Table 7 Colorful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364">
    <w:name w:val="List Table 7 Colorful - Accent 1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365">
    <w:name w:val="List Table 7 Colorful - Accent 2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366">
    <w:name w:val="List Table 7 Colorful - Accent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367">
    <w:name w:val="List Table 7 Colorful - Accent 4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368">
    <w:name w:val="List Table 7 Colorful - Accent 5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369">
    <w:name w:val="List Table 7 Colorful - Accent 6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370">
    <w:name w:val="Lined - Accent"/>
    <w:basedOn w:val="11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371">
    <w:name w:val="Lined - Accent 1"/>
    <w:basedOn w:val="11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372">
    <w:name w:val="Lined - Accent 2"/>
    <w:basedOn w:val="11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373">
    <w:name w:val="Lined - Accent 3"/>
    <w:basedOn w:val="11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374">
    <w:name w:val="Lined - Accent 4"/>
    <w:basedOn w:val="11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375">
    <w:name w:val="Lined - Accent 5"/>
    <w:basedOn w:val="11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376">
    <w:name w:val="Lined - Accent 6"/>
    <w:basedOn w:val="11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377">
    <w:name w:val="Bordered &amp; Lined - Accent"/>
    <w:basedOn w:val="11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378">
    <w:name w:val="Bordered &amp; Lined - Accent 1"/>
    <w:basedOn w:val="11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379">
    <w:name w:val="Bordered &amp; Lined - Accent 2"/>
    <w:basedOn w:val="11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380">
    <w:name w:val="Bordered &amp; Lined - Accent 3"/>
    <w:basedOn w:val="11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381">
    <w:name w:val="Bordered &amp; Lined - Accent 4"/>
    <w:basedOn w:val="11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382">
    <w:name w:val="Bordered &amp; Lined - Accent 5"/>
    <w:basedOn w:val="11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383">
    <w:name w:val="Bordered &amp; Lined - Accent 6"/>
    <w:basedOn w:val="11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384">
    <w:name w:val="Bordered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385">
    <w:name w:val="Bordered - Accent 1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386">
    <w:name w:val="Bordered - Accent 2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387">
    <w:name w:val="Bordered - Accent 3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388">
    <w:name w:val="Bordered - Accent 4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389">
    <w:name w:val="Bordered - Accent 5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390">
    <w:name w:val="Bordered - Accent 6"/>
    <w:basedOn w:val="11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391">
    <w:name w:val="Hyperlink"/>
    <w:uiPriority w:val="99"/>
    <w:unhideWhenUsed/>
    <w:rPr>
      <w:color w:val="0000FF" w:themeColor="hyperlink"/>
      <w:u w:val="single"/>
    </w:rPr>
  </w:style>
  <w:style w:type="paragraph" w:styleId="392">
    <w:name w:val="footnote text"/>
    <w:basedOn w:val="1119"/>
    <w:link w:val="393"/>
    <w:uiPriority w:val="99"/>
    <w:semiHidden/>
    <w:unhideWhenUsed/>
    <w:rPr>
      <w:sz w:val="18"/>
    </w:rPr>
    <w:pPr>
      <w:spacing w:lineRule="auto" w:line="240" w:after="40"/>
    </w:pPr>
  </w:style>
  <w:style w:type="character" w:styleId="393">
    <w:name w:val="Footnote Text Char"/>
    <w:link w:val="392"/>
    <w:uiPriority w:val="99"/>
    <w:rPr>
      <w:sz w:val="18"/>
    </w:rPr>
  </w:style>
  <w:style w:type="character" w:styleId="394">
    <w:name w:val="footnote reference"/>
    <w:basedOn w:val="1120"/>
    <w:uiPriority w:val="99"/>
    <w:unhideWhenUsed/>
    <w:rPr>
      <w:vertAlign w:val="superscript"/>
    </w:rPr>
  </w:style>
  <w:style w:type="paragraph" w:styleId="395">
    <w:name w:val="endnote text"/>
    <w:basedOn w:val="1119"/>
    <w:link w:val="396"/>
    <w:uiPriority w:val="99"/>
    <w:semiHidden/>
    <w:unhideWhenUsed/>
    <w:rPr>
      <w:sz w:val="20"/>
    </w:rPr>
    <w:pPr>
      <w:spacing w:lineRule="auto" w:line="240" w:after="0"/>
    </w:pPr>
  </w:style>
  <w:style w:type="character" w:styleId="396">
    <w:name w:val="Endnote Text Char"/>
    <w:link w:val="395"/>
    <w:uiPriority w:val="99"/>
    <w:rPr>
      <w:sz w:val="20"/>
    </w:rPr>
  </w:style>
  <w:style w:type="character" w:styleId="397">
    <w:name w:val="endnote reference"/>
    <w:basedOn w:val="1120"/>
    <w:uiPriority w:val="99"/>
    <w:semiHidden/>
    <w:unhideWhenUsed/>
    <w:rPr>
      <w:vertAlign w:val="superscript"/>
    </w:rPr>
  </w:style>
  <w:style w:type="paragraph" w:styleId="398">
    <w:name w:val="toc 1"/>
    <w:basedOn w:val="1119"/>
    <w:next w:val="1119"/>
    <w:uiPriority w:val="39"/>
    <w:unhideWhenUsed/>
    <w:pPr>
      <w:ind w:left="0" w:right="0" w:firstLine="0"/>
      <w:spacing w:after="57"/>
    </w:pPr>
  </w:style>
  <w:style w:type="paragraph" w:styleId="399">
    <w:name w:val="toc 2"/>
    <w:basedOn w:val="1119"/>
    <w:next w:val="1119"/>
    <w:uiPriority w:val="39"/>
    <w:unhideWhenUsed/>
    <w:pPr>
      <w:ind w:left="283" w:right="0" w:firstLine="0"/>
      <w:spacing w:after="57"/>
    </w:pPr>
  </w:style>
  <w:style w:type="paragraph" w:styleId="400">
    <w:name w:val="toc 3"/>
    <w:basedOn w:val="1119"/>
    <w:next w:val="1119"/>
    <w:uiPriority w:val="39"/>
    <w:unhideWhenUsed/>
    <w:pPr>
      <w:ind w:left="567" w:right="0" w:firstLine="0"/>
      <w:spacing w:after="57"/>
    </w:pPr>
  </w:style>
  <w:style w:type="paragraph" w:styleId="401">
    <w:name w:val="toc 4"/>
    <w:basedOn w:val="1119"/>
    <w:next w:val="1119"/>
    <w:uiPriority w:val="39"/>
    <w:unhideWhenUsed/>
    <w:pPr>
      <w:ind w:left="850" w:right="0" w:firstLine="0"/>
      <w:spacing w:after="57"/>
    </w:pPr>
  </w:style>
  <w:style w:type="paragraph" w:styleId="402">
    <w:name w:val="toc 5"/>
    <w:basedOn w:val="1119"/>
    <w:next w:val="1119"/>
    <w:uiPriority w:val="39"/>
    <w:unhideWhenUsed/>
    <w:pPr>
      <w:ind w:left="1134" w:right="0" w:firstLine="0"/>
      <w:spacing w:after="57"/>
    </w:pPr>
  </w:style>
  <w:style w:type="paragraph" w:styleId="403">
    <w:name w:val="toc 6"/>
    <w:basedOn w:val="1119"/>
    <w:next w:val="1119"/>
    <w:uiPriority w:val="39"/>
    <w:unhideWhenUsed/>
    <w:pPr>
      <w:ind w:left="1417" w:right="0" w:firstLine="0"/>
      <w:spacing w:after="57"/>
    </w:pPr>
  </w:style>
  <w:style w:type="paragraph" w:styleId="404">
    <w:name w:val="toc 7"/>
    <w:basedOn w:val="1119"/>
    <w:next w:val="1119"/>
    <w:uiPriority w:val="39"/>
    <w:unhideWhenUsed/>
    <w:pPr>
      <w:ind w:left="1701" w:right="0" w:firstLine="0"/>
      <w:spacing w:after="57"/>
    </w:pPr>
  </w:style>
  <w:style w:type="paragraph" w:styleId="405">
    <w:name w:val="toc 8"/>
    <w:basedOn w:val="1119"/>
    <w:next w:val="1119"/>
    <w:uiPriority w:val="39"/>
    <w:unhideWhenUsed/>
    <w:pPr>
      <w:ind w:left="1984" w:right="0" w:firstLine="0"/>
      <w:spacing w:after="57"/>
    </w:pPr>
  </w:style>
  <w:style w:type="paragraph" w:styleId="406">
    <w:name w:val="toc 9"/>
    <w:basedOn w:val="1119"/>
    <w:next w:val="1119"/>
    <w:uiPriority w:val="39"/>
    <w:unhideWhenUsed/>
    <w:pPr>
      <w:ind w:left="2268" w:right="0" w:firstLine="0"/>
      <w:spacing w:after="57"/>
    </w:pPr>
  </w:style>
  <w:style w:type="paragraph" w:styleId="407">
    <w:name w:val="TOC Heading"/>
    <w:uiPriority w:val="39"/>
    <w:unhideWhenUsed/>
  </w:style>
  <w:style w:type="paragraph" w:styleId="408">
    <w:name w:val="table of figures"/>
    <w:basedOn w:val="1119"/>
    <w:next w:val="1119"/>
    <w:uiPriority w:val="99"/>
    <w:unhideWhenUsed/>
    <w:pPr>
      <w:spacing w:after="0" w:afterAutospacing="0"/>
    </w:pPr>
  </w:style>
  <w:style w:type="paragraph" w:styleId="1119" w:default="1">
    <w:name w:val="Normal"/>
    <w:qFormat/>
  </w:style>
  <w:style w:type="character" w:styleId="1120" w:default="1">
    <w:name w:val="Default Paragraph Font"/>
    <w:uiPriority w:val="1"/>
    <w:semiHidden/>
    <w:unhideWhenUsed/>
  </w:style>
  <w:style w:type="table" w:styleId="11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22" w:default="1">
    <w:name w:val="No List"/>
    <w:uiPriority w:val="99"/>
    <w:semiHidden/>
    <w:unhideWhenUsed/>
  </w:style>
  <w:style w:type="paragraph" w:styleId="1123" w:customStyle="1">
    <w:name w:val="269F44C392444E95B962054527E2F8B6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Company>Rada Powiatu w Opatowie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2 czerwca 2020 r.</dc:title>
  <dc:subject>w sprawie</dc:subject>
  <dc:creator>Statut Stowarzyszenia Trampolina (obecna nazwa Stowarzyszenie Bartosz)- tekst jednolity 5 czerwca 2020 r.</dc:creator>
  <cp:lastModifiedBy>Adrianna Justyna Krymska</cp:lastModifiedBy>
  <cp:revision>3</cp:revision>
  <dcterms:created xsi:type="dcterms:W3CDTF">2021-01-06T16:22:00Z</dcterms:created>
  <dcterms:modified xsi:type="dcterms:W3CDTF">2022-02-02T12:57:52Z</dcterms:modified>
  <cp:category>Akt prawny</cp:category>
</cp:coreProperties>
</file>